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14E52" w14:textId="77777777" w:rsidR="008A55B5" w:rsidRPr="00F33060" w:rsidRDefault="00104E36">
      <w:pPr>
        <w:pStyle w:val="papertitle"/>
        <w:rPr>
          <w:lang w:eastAsia="zh-CN"/>
        </w:rPr>
      </w:pPr>
      <w:r w:rsidRPr="00104E36">
        <w:rPr>
          <w:rFonts w:eastAsia="MS Mincho"/>
        </w:rPr>
        <w:t>Application Analysis of FlexE Technology in the New Type of Power System</w:t>
      </w:r>
    </w:p>
    <w:p w14:paraId="491688FD" w14:textId="54C1A057" w:rsidR="000C7022" w:rsidRDefault="00104E36" w:rsidP="00C33BF5">
      <w:pPr>
        <w:pStyle w:val="Author"/>
        <w:spacing w:beforeLines="50" w:before="120"/>
        <w:rPr>
          <w:lang w:eastAsia="zh-CN"/>
        </w:rPr>
      </w:pPr>
      <w:r w:rsidRPr="00104E36">
        <w:rPr>
          <w:lang w:eastAsia="zh-CN"/>
        </w:rPr>
        <w:t>Shengqi Qian, Zhiyu Chen</w:t>
      </w:r>
      <w:r w:rsidR="00F10506">
        <w:rPr>
          <w:lang w:eastAsia="zh-CN"/>
        </w:rPr>
        <w:t>*</w:t>
      </w:r>
      <w:r w:rsidRPr="00104E36">
        <w:rPr>
          <w:lang w:eastAsia="zh-CN"/>
        </w:rPr>
        <w:t xml:space="preserve">, Junhua Huang, Jinping Cao, Yongyuan He, Wenjing Liu, Hairui Xing, </w:t>
      </w:r>
      <w:r w:rsidR="00A512FE">
        <w:rPr>
          <w:rFonts w:hint="eastAsia"/>
          <w:lang w:eastAsia="zh-CN"/>
        </w:rPr>
        <w:t>Xin</w:t>
      </w:r>
      <w:r w:rsidR="00A512FE">
        <w:rPr>
          <w:lang w:eastAsia="zh-CN"/>
        </w:rPr>
        <w:t xml:space="preserve"> Ji</w:t>
      </w:r>
      <w:r w:rsidR="00A512FE">
        <w:rPr>
          <w:rFonts w:hint="eastAsia"/>
          <w:lang w:eastAsia="zh-CN"/>
        </w:rPr>
        <w:t>n</w:t>
      </w:r>
    </w:p>
    <w:p w14:paraId="00922CA7" w14:textId="77777777" w:rsidR="00EE10B8" w:rsidRPr="00422BD4" w:rsidRDefault="00104E36" w:rsidP="00EE10B8">
      <w:pPr>
        <w:pStyle w:val="Affiliation"/>
        <w:rPr>
          <w:lang w:eastAsia="zh-CN"/>
        </w:rPr>
      </w:pPr>
      <w:r w:rsidRPr="00104E36">
        <w:t>State Grid Information &amp; Telecommunication Branch, Beijing, China</w:t>
      </w:r>
    </w:p>
    <w:p w14:paraId="02C7B4E0" w14:textId="77777777" w:rsidR="008A55B5" w:rsidRDefault="00C31EAA" w:rsidP="00104E36">
      <w:pPr>
        <w:pStyle w:val="Affiliation"/>
        <w:rPr>
          <w:rFonts w:eastAsia="MS Mincho"/>
        </w:rPr>
        <w:sectPr w:rsidR="008A55B5" w:rsidSect="006B0404">
          <w:pgSz w:w="11909" w:h="16834" w:code="9"/>
          <w:pgMar w:top="1077" w:right="907" w:bottom="1440" w:left="907" w:header="720" w:footer="720" w:gutter="0"/>
          <w:cols w:space="720"/>
          <w:docGrid w:linePitch="360"/>
        </w:sectPr>
      </w:pPr>
      <w:r w:rsidRPr="00C31EAA">
        <w:rPr>
          <w:lang w:eastAsia="zh-CN"/>
        </w:rPr>
        <w:t>Corresponding</w:t>
      </w:r>
      <w:r w:rsidR="00E43A6C" w:rsidRPr="00E43A6C">
        <w:rPr>
          <w:lang w:eastAsia="zh-CN"/>
        </w:rPr>
        <w:t xml:space="preserve"> </w:t>
      </w:r>
      <w:r w:rsidR="00E43A6C">
        <w:rPr>
          <w:rFonts w:hint="eastAsia"/>
          <w:lang w:eastAsia="zh-CN"/>
        </w:rPr>
        <w:t>A</w:t>
      </w:r>
      <w:r w:rsidR="00E43A6C" w:rsidRPr="00E43A6C">
        <w:rPr>
          <w:lang w:eastAsia="zh-CN"/>
        </w:rPr>
        <w:t>uthor</w:t>
      </w:r>
      <w:r w:rsidR="00E43A6C">
        <w:rPr>
          <w:rFonts w:hint="eastAsia"/>
          <w:lang w:eastAsia="zh-CN"/>
        </w:rPr>
        <w:t>:</w:t>
      </w:r>
      <w:r w:rsidR="00E43A6C" w:rsidRPr="00E43A6C">
        <w:t xml:space="preserve"> </w:t>
      </w:r>
      <w:proofErr w:type="spellStart"/>
      <w:r w:rsidR="00104E36" w:rsidRPr="00104E36">
        <w:rPr>
          <w:rFonts w:eastAsia="MS Mincho"/>
        </w:rPr>
        <w:t>Zhiyu</w:t>
      </w:r>
      <w:proofErr w:type="spellEnd"/>
      <w:r w:rsidR="00104E36" w:rsidRPr="00104E36">
        <w:rPr>
          <w:rFonts w:eastAsia="MS Mincho"/>
        </w:rPr>
        <w:t xml:space="preserve"> Chen    </w:t>
      </w:r>
      <w:proofErr w:type="gramStart"/>
      <w:r w:rsidR="00104E36" w:rsidRPr="00104E36">
        <w:rPr>
          <w:rFonts w:eastAsia="MS Mincho"/>
        </w:rPr>
        <w:t>Email:sevsevf@163.com</w:t>
      </w:r>
      <w:proofErr w:type="gramEnd"/>
    </w:p>
    <w:p w14:paraId="42729D50" w14:textId="77777777" w:rsidR="0009037B" w:rsidRDefault="0009037B" w:rsidP="0009037B">
      <w:pPr>
        <w:rPr>
          <w:rFonts w:eastAsia="MS Mincho"/>
        </w:rPr>
        <w:sectPr w:rsidR="0009037B" w:rsidSect="00EC0FE6">
          <w:type w:val="continuous"/>
          <w:pgSz w:w="11909" w:h="16834" w:code="9"/>
          <w:pgMar w:top="1418" w:right="1134" w:bottom="2268" w:left="1134" w:header="720" w:footer="720" w:gutter="0"/>
          <w:cols w:space="720"/>
          <w:docGrid w:linePitch="360"/>
        </w:sectPr>
      </w:pPr>
    </w:p>
    <w:p w14:paraId="4209E448" w14:textId="77777777" w:rsidR="00F52738" w:rsidRDefault="00F52738" w:rsidP="00F52738">
      <w:pPr>
        <w:rPr>
          <w:rFonts w:eastAsia="MS Mincho"/>
        </w:rPr>
        <w:sectPr w:rsidR="00F52738" w:rsidSect="00EC0FE6">
          <w:type w:val="continuous"/>
          <w:pgSz w:w="11909" w:h="16834" w:code="9"/>
          <w:pgMar w:top="1418" w:right="1134" w:bottom="2268" w:left="1134" w:header="720" w:footer="720" w:gutter="0"/>
          <w:cols w:space="720"/>
          <w:docGrid w:linePitch="360"/>
        </w:sectPr>
      </w:pPr>
    </w:p>
    <w:p w14:paraId="10878410" w14:textId="77777777" w:rsidR="00BB50B1" w:rsidRDefault="008A55B5" w:rsidP="000631AB">
      <w:pPr>
        <w:pStyle w:val="Abstract"/>
        <w:rPr>
          <w:rFonts w:eastAsia="MS Mincho"/>
          <w:lang w:eastAsia="zh-CN"/>
        </w:rPr>
      </w:pPr>
      <w:r>
        <w:rPr>
          <w:rFonts w:eastAsia="MS Mincho"/>
          <w:i/>
          <w:iCs/>
          <w:lang w:eastAsia="zh-CN"/>
        </w:rPr>
        <w:t>Abstract</w:t>
      </w:r>
      <w:r>
        <w:rPr>
          <w:rFonts w:eastAsia="MS Mincho"/>
          <w:lang w:eastAsia="zh-CN"/>
        </w:rPr>
        <w:t>—</w:t>
      </w:r>
      <w:r w:rsidR="000631AB" w:rsidRPr="000631AB">
        <w:rPr>
          <w:rFonts w:eastAsia="MS Mincho"/>
          <w:lang w:eastAsia="zh-CN"/>
        </w:rPr>
        <w:t xml:space="preserve">With the explosive growth of various devices, terminals and services, communication networks are in urgent need of security, reliability, flexible </w:t>
      </w:r>
      <w:proofErr w:type="gramStart"/>
      <w:r w:rsidR="000631AB" w:rsidRPr="000631AB">
        <w:rPr>
          <w:rFonts w:eastAsia="MS Mincho"/>
          <w:lang w:eastAsia="zh-CN"/>
        </w:rPr>
        <w:t>access</w:t>
      </w:r>
      <w:proofErr w:type="gramEnd"/>
      <w:r w:rsidR="000631AB" w:rsidRPr="000631AB">
        <w:rPr>
          <w:rFonts w:eastAsia="MS Mincho"/>
          <w:lang w:eastAsia="zh-CN"/>
        </w:rPr>
        <w:t xml:space="preserve"> and real-time interaction. </w:t>
      </w:r>
      <w:r w:rsidR="0038036E">
        <w:rPr>
          <w:rFonts w:eastAsia="MS Mincho"/>
          <w:lang w:eastAsia="zh-CN"/>
        </w:rPr>
        <w:t>Meanwhile</w:t>
      </w:r>
      <w:r w:rsidR="000631AB" w:rsidRPr="000631AB">
        <w:rPr>
          <w:rFonts w:eastAsia="MS Mincho"/>
          <w:lang w:eastAsia="zh-CN"/>
        </w:rPr>
        <w:t xml:space="preserve">, the power communication network extends to the low-voltage side, which needs to analyze a lot of interactive information to realize the perception, </w:t>
      </w:r>
      <w:proofErr w:type="gramStart"/>
      <w:r w:rsidR="000631AB" w:rsidRPr="000631AB">
        <w:rPr>
          <w:rFonts w:eastAsia="MS Mincho"/>
          <w:lang w:eastAsia="zh-CN"/>
        </w:rPr>
        <w:t>prediction</w:t>
      </w:r>
      <w:proofErr w:type="gramEnd"/>
      <w:r w:rsidR="000631AB" w:rsidRPr="000631AB">
        <w:rPr>
          <w:rFonts w:eastAsia="MS Mincho"/>
          <w:lang w:eastAsia="zh-CN"/>
        </w:rPr>
        <w:t xml:space="preserve"> and control of the system operation state. The traditional network model has certain deficiencies in </w:t>
      </w:r>
      <w:proofErr w:type="gramStart"/>
      <w:r w:rsidR="000631AB" w:rsidRPr="000631AB">
        <w:rPr>
          <w:rFonts w:eastAsia="MS Mincho"/>
          <w:lang w:eastAsia="zh-CN"/>
        </w:rPr>
        <w:t>taking into account</w:t>
      </w:r>
      <w:proofErr w:type="gramEnd"/>
      <w:r w:rsidR="000631AB" w:rsidRPr="000631AB">
        <w:rPr>
          <w:rFonts w:eastAsia="MS Mincho"/>
          <w:lang w:eastAsia="zh-CN"/>
        </w:rPr>
        <w:t xml:space="preserve"> the economy, efficiency and performance. This paper studies and analyzes the application of </w:t>
      </w:r>
      <w:proofErr w:type="spellStart"/>
      <w:r w:rsidR="000631AB" w:rsidRPr="000631AB">
        <w:rPr>
          <w:rFonts w:eastAsia="MS Mincho"/>
          <w:lang w:eastAsia="zh-CN"/>
        </w:rPr>
        <w:t>FlexE</w:t>
      </w:r>
      <w:proofErr w:type="spellEnd"/>
      <w:r w:rsidR="000631AB" w:rsidRPr="000631AB">
        <w:rPr>
          <w:rFonts w:eastAsia="MS Mincho"/>
          <w:lang w:eastAsia="zh-CN"/>
        </w:rPr>
        <w:t xml:space="preserve"> </w:t>
      </w:r>
      <w:r w:rsidR="00837DA0" w:rsidRPr="000631AB">
        <w:rPr>
          <w:rFonts w:eastAsia="MS Mincho"/>
          <w:lang w:eastAsia="zh-CN"/>
        </w:rPr>
        <w:t>(Flexible</w:t>
      </w:r>
      <w:r w:rsidR="00837DA0">
        <w:rPr>
          <w:rFonts w:eastAsia="MS Mincho"/>
          <w:lang w:eastAsia="zh-CN"/>
        </w:rPr>
        <w:t xml:space="preserve"> Ethernet</w:t>
      </w:r>
      <w:r w:rsidR="000631AB" w:rsidRPr="000631AB">
        <w:rPr>
          <w:rFonts w:eastAsia="MS Mincho"/>
          <w:lang w:eastAsia="zh-CN"/>
        </w:rPr>
        <w:t xml:space="preserve">) technology in new type power systems to adapt to services with different granularities and performance requirements, realize unified access of various services, and promote the deep integration and adaptation of </w:t>
      </w:r>
      <w:proofErr w:type="spellStart"/>
      <w:r w:rsidR="000631AB" w:rsidRPr="000631AB">
        <w:rPr>
          <w:rFonts w:eastAsia="MS Mincho"/>
          <w:lang w:eastAsia="zh-CN"/>
        </w:rPr>
        <w:t>FlexE</w:t>
      </w:r>
      <w:proofErr w:type="spellEnd"/>
      <w:r w:rsidR="000631AB" w:rsidRPr="000631AB">
        <w:rPr>
          <w:rFonts w:eastAsia="MS Mincho"/>
          <w:lang w:eastAsia="zh-CN"/>
        </w:rPr>
        <w:t xml:space="preserve"> technology to the new type of power system.</w:t>
      </w:r>
    </w:p>
    <w:p w14:paraId="39E20E7D" w14:textId="77777777" w:rsidR="008A55B5" w:rsidRDefault="0072064C">
      <w:pPr>
        <w:pStyle w:val="keywords"/>
        <w:rPr>
          <w:rFonts w:eastAsia="MS Mincho"/>
          <w:lang w:eastAsia="zh-CN"/>
        </w:rPr>
      </w:pPr>
      <w:r>
        <w:rPr>
          <w:rFonts w:eastAsia="MS Mincho"/>
          <w:lang w:eastAsia="zh-CN"/>
        </w:rPr>
        <w:t>Keywords—</w:t>
      </w:r>
      <w:r w:rsidR="00D024A1" w:rsidRPr="00D024A1">
        <w:rPr>
          <w:rFonts w:eastAsia="MS Mincho"/>
          <w:lang w:eastAsia="zh-CN"/>
        </w:rPr>
        <w:t>new type of power system; FlexE; distribution communication network; diversified busines</w:t>
      </w:r>
    </w:p>
    <w:p w14:paraId="30529F7D" w14:textId="77777777" w:rsidR="008A55B5" w:rsidRDefault="002D3653" w:rsidP="00165E5D">
      <w:pPr>
        <w:pStyle w:val="1"/>
        <w:spacing w:before="120"/>
        <w:rPr>
          <w:rFonts w:eastAsia="MS Mincho"/>
        </w:rPr>
      </w:pPr>
      <w:r>
        <w:rPr>
          <w:rFonts w:eastAsia="MS Mincho"/>
        </w:rPr>
        <w:t>Introduction</w:t>
      </w:r>
    </w:p>
    <w:p w14:paraId="6CBD3C39" w14:textId="77777777" w:rsidR="002D3653" w:rsidRPr="002D3653" w:rsidRDefault="00262EB9" w:rsidP="002D3653">
      <w:pPr>
        <w:pStyle w:val="a3"/>
      </w:pPr>
      <w:r w:rsidRPr="00262EB9">
        <w:t xml:space="preserve">With the advancement of the construction of new type power systems, the optimization of energy dispatch strategies based on information and communication technologies has achieved safe, economical, efficient, and green operation of the power grid. The new type power system aims at the energy transmission of power generation, transmission, distribution, energy storage and power consumption. It combines information technology and automatic control technology to realize two-way information exchange from power generation to power consumption, and optimize the management and dispatching of electric </w:t>
      </w:r>
      <w:proofErr w:type="gramStart"/>
      <w:r w:rsidRPr="00262EB9">
        <w:t>energy as a whole</w:t>
      </w:r>
      <w:proofErr w:type="gramEnd"/>
      <w:r w:rsidRPr="00262EB9">
        <w:t>. Its purpose is to improve the reliability of power grid power supply, promote energy conservation and emission reduction, improve the efficiency of new energy utilization, and promote the optimal allocation of resources [1]-[3].</w:t>
      </w:r>
    </w:p>
    <w:p w14:paraId="32BC514A" w14:textId="77777777" w:rsidR="005E51BD" w:rsidRDefault="005E51BD" w:rsidP="005E51BD">
      <w:pPr>
        <w:pStyle w:val="a3"/>
      </w:pPr>
      <w:r>
        <w:t>With the in-depth integration of sensing, information, communication, control technology and energy systems, the traditional single energy network is developing into a multi-energy complementary energy network. The power system needs to coordinate the energy demand in various fields to achieve coordinated supply of multiple energy sources and comprehensive utilization of energy. At the same time, with the development of integrated energy services and Internet technology, the continuously improved energy coupling system has promoted the further transformation and upgrading of the energy market and industry [4][5]. The future of the new type power system will present a new situation of multi-energy complementarity, efficient coordination, openness and sharing, and value innovation.</w:t>
      </w:r>
    </w:p>
    <w:p w14:paraId="7D876403" w14:textId="77777777" w:rsidR="005E51BD" w:rsidRDefault="005E51BD" w:rsidP="005E51BD">
      <w:pPr>
        <w:pStyle w:val="a3"/>
      </w:pPr>
      <w:r>
        <w:t xml:space="preserve">As the key infrastructure for the development of energy Internet, the security, real-time, accuracy and reliability of power communication network ensure the stable interaction of various power business information. The construction of a large-capacity, safe and reliable optical fiber backbone communication network and a multi-service flexible and trusted access distribution communication network are two important components of communication network construction. On the side of the backbone communication network, after years of construction, the main network communication network above 35kV has a complete all-optical backbone network and a reliable and efficient data network. cover. The stations in the distribution communication network are widely distributed, and </w:t>
      </w:r>
      <w:proofErr w:type="gramStart"/>
      <w:r>
        <w:t>a large number of</w:t>
      </w:r>
      <w:proofErr w:type="gramEnd"/>
      <w:r>
        <w:t xml:space="preserve"> equipment need real-time monitoring, which makes the two-way exchange of information very frequent. In addition, the existing optical fiber coverage construction costs are high, the operation and maintenance are difficult, and the carrying capacity of the public network is limited, making it difficult to effectively support power distribution. Various terminals on the network are observable, </w:t>
      </w:r>
      <w:proofErr w:type="gramStart"/>
      <w:r>
        <w:t>measurable</w:t>
      </w:r>
      <w:proofErr w:type="gramEnd"/>
      <w:r>
        <w:t xml:space="preserve"> and controllable. With the continuous improvement of the requirements for distribution network automation, advanced metering, distributed energy access and demand side response, the communication needs of equipment, terminals and customers are surging. Some emerging communication technologies with advanced, reliable, </w:t>
      </w:r>
      <w:proofErr w:type="gramStart"/>
      <w:r>
        <w:t>stable</w:t>
      </w:r>
      <w:proofErr w:type="gramEnd"/>
      <w:r>
        <w:t xml:space="preserve"> and efficient characteristics are playing an increasingly important role in all walks of life and can greatly improve the performance of information interaction. Therefore, the distribution communication network with flexible access and real-time interaction is the new requirement of the new power system for the distribution communication network [6]-[9].</w:t>
      </w:r>
    </w:p>
    <w:p w14:paraId="4E14C904" w14:textId="77777777" w:rsidR="005E51BD" w:rsidRDefault="005E51BD" w:rsidP="005E51BD">
      <w:pPr>
        <w:pStyle w:val="a3"/>
      </w:pPr>
      <w:r w:rsidRPr="005E51BD">
        <w:t xml:space="preserve">The distribution communication network is an important infrastructure to support the construction, </w:t>
      </w:r>
      <w:proofErr w:type="gramStart"/>
      <w:r w:rsidRPr="005E51BD">
        <w:t>operation</w:t>
      </w:r>
      <w:proofErr w:type="gramEnd"/>
      <w:r w:rsidRPr="005E51BD">
        <w:t xml:space="preserve"> and control of new type power system. With the increasing demand for power business types and the continuous improvement of communication performance requirements, more new services with different granularity and high requirements are bound to be derived. The increasingly complex distribution communication network structure poses a serious challenge to the interactivity of massive data. The mode of data transmission supported by rigid bandwidth restricts the value promotion of power grid data. The expansion method is difficult to meet the development trend of more open network structure and more diverse service types. Fig</w:t>
      </w:r>
      <w:r w:rsidR="0012022C">
        <w:t xml:space="preserve">. </w:t>
      </w:r>
      <w:r w:rsidRPr="005E51BD">
        <w:t xml:space="preserve">1 shows a schematic diagram of the multi-service access of the new type power system. Considering that the services of the new type power system have multi-dimensional characteristics such as multi-granular </w:t>
      </w:r>
      <w:r w:rsidRPr="005E51BD">
        <w:lastRenderedPageBreak/>
        <w:t>bandwidth, low latency, and high reliability, it is urgent to build a power communication network that can meet the needs of multiple services.</w:t>
      </w:r>
    </w:p>
    <w:p w14:paraId="0E707719" w14:textId="77777777" w:rsidR="005E51BD" w:rsidRDefault="006B0404" w:rsidP="005E51BD">
      <w:pPr>
        <w:pStyle w:val="a3"/>
        <w:snapToGrid w:val="0"/>
        <w:spacing w:after="0" w:line="240" w:lineRule="auto"/>
        <w:ind w:firstLine="0"/>
      </w:pPr>
      <w:r>
        <w:pict w14:anchorId="32C49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142.5pt">
            <v:imagedata r:id="rId8" o:title="wqw"/>
          </v:shape>
        </w:pict>
      </w:r>
    </w:p>
    <w:p w14:paraId="0B95A8FE" w14:textId="77777777" w:rsidR="005E51BD" w:rsidRPr="00C235F7" w:rsidRDefault="00DD739F" w:rsidP="008F2E37">
      <w:pPr>
        <w:pStyle w:val="figurecaption"/>
        <w:spacing w:after="0"/>
        <w:ind w:left="357" w:hanging="357"/>
        <w:rPr>
          <w:rFonts w:eastAsia="MS Mincho"/>
        </w:rPr>
      </w:pPr>
      <w:r w:rsidRPr="00DD739F">
        <w:rPr>
          <w:rFonts w:eastAsia="MS Mincho"/>
        </w:rPr>
        <w:t>Multiple services access of the new type of power system</w:t>
      </w:r>
      <w:r w:rsidR="005E51BD" w:rsidRPr="001A53B1">
        <w:rPr>
          <w:rFonts w:hint="eastAsia"/>
          <w:lang w:eastAsia="zh-CN"/>
        </w:rPr>
        <w:t>.</w:t>
      </w:r>
    </w:p>
    <w:p w14:paraId="0780C084" w14:textId="77777777" w:rsidR="008A55B5" w:rsidRPr="002D3653" w:rsidRDefault="008B72AF" w:rsidP="008B72AF">
      <w:pPr>
        <w:pStyle w:val="1"/>
      </w:pPr>
      <w:r w:rsidRPr="008B72AF">
        <w:rPr>
          <w:rFonts w:eastAsia="MS Mincho"/>
        </w:rPr>
        <w:t>Distribution Communication Network</w:t>
      </w:r>
    </w:p>
    <w:p w14:paraId="716629D1" w14:textId="77777777" w:rsidR="008B72AF" w:rsidRDefault="008B72AF" w:rsidP="008B72AF">
      <w:pPr>
        <w:pStyle w:val="a3"/>
      </w:pPr>
      <w:r>
        <w:t xml:space="preserve">In the distribution communication network, optical communication has also become the absolute mainstream in the field of transmission networks, and the power communication network is also an industry dedicated communication network. SDH (Synchronous Digital Hierarchy), MSTP (Multi-Service Transfer Planform) and other transmissions </w:t>
      </w:r>
      <w:proofErr w:type="gramStart"/>
      <w:r>
        <w:t>The</w:t>
      </w:r>
      <w:proofErr w:type="gramEnd"/>
      <w:r>
        <w:t xml:space="preserve"> technology and transmission equipment are already very mature, and the access network part also generally adopts PCM (Pulse Code Modulation) technology and equipment to convert the analog and digital services of the end site into standard 2M signals docking with transmission equipment. In recent years, with the maturity and popularization of soft switch and IMS (IP Multimedia Subsystem) and other technologies, the demand of telecom operators for traditional PCM equipment has dropped sharply, causing </w:t>
      </w:r>
      <w:proofErr w:type="gramStart"/>
      <w:r>
        <w:t>a large number of</w:t>
      </w:r>
      <w:proofErr w:type="gramEnd"/>
      <w:r>
        <w:t xml:space="preserve"> traditional PCM manufacturers to stop production. The share of PCM equipment in the power private network market is gradually declining, which has a direct impact on the expansion and maintenance of the power communication access network. The distribution communication network is located at the end of the entire communication network. Its main function is to connect and aggregate 110 KV substations, 35 kV substations, power supply stations, business halls and other sites, and connect them to the power communication network. A large network of all nodes of the power supply enterprise.</w:t>
      </w:r>
      <w:r w:rsidR="00A176A9">
        <w:t xml:space="preserve"> </w:t>
      </w:r>
      <w:r w:rsidR="00DB01C1" w:rsidRPr="00DB01C1">
        <w:t>The information interconnection of all businesses of power supply enterprises can be realized, which can effectively improve the ov</w:t>
      </w:r>
      <w:r w:rsidR="00DB01C1">
        <w:t>erall efficiency of enterprises</w:t>
      </w:r>
      <w:r w:rsidR="003A7935" w:rsidRPr="003A7935">
        <w:t>.</w:t>
      </w:r>
      <w:r w:rsidR="003A7935">
        <w:t xml:space="preserve"> </w:t>
      </w:r>
      <w:r>
        <w:t xml:space="preserve">The access of large-scale distributed new energy makes the distribution communication network present a situation of many access points, short transmission distance and small communication flow. The site communication equipment can be integrated as much as possible, and has the requirements of flexible networking and strong adaptability [10][11]. </w:t>
      </w:r>
      <w:r w:rsidR="008C3698" w:rsidRPr="008C3698">
        <w:rPr>
          <w:rFonts w:hint="eastAsia"/>
        </w:rPr>
        <w:t>I</w:t>
      </w:r>
      <w:r>
        <w:t xml:space="preserve">n order to meet the service requirements of communication network, it is very urgent to analyze the adaptability of various </w:t>
      </w:r>
      <w:r>
        <w:t xml:space="preserve">communication technologies in the new type power system. </w:t>
      </w:r>
    </w:p>
    <w:p w14:paraId="775F3B05" w14:textId="77777777" w:rsidR="008B72AF" w:rsidRDefault="008B72AF" w:rsidP="006E6E98">
      <w:pPr>
        <w:pStyle w:val="a3"/>
        <w:spacing w:after="40"/>
        <w:ind w:firstLine="289"/>
      </w:pPr>
      <w:r>
        <w:t xml:space="preserve">The construction of the new type power system has comprehensively improved the digitalization and intelligence level of the power grid. Based on modern information communication technology and control technology, it has realized the safe, clean, </w:t>
      </w:r>
      <w:proofErr w:type="gramStart"/>
      <w:r>
        <w:t>coordinated</w:t>
      </w:r>
      <w:proofErr w:type="gramEnd"/>
      <w:r>
        <w:t xml:space="preserve"> and intelligent development of the power grid, supported the construction of digital transparent power grid, and provided reliable power guarantee for social development. With the continuous emergence of new business formats such as virtual power plants, load aggregators, precision load control, distributed energy and electric vehicles, the stable operation of various businesses puts forward stricter requirements on the adaptability of distribution communication networks. Therefore, it is urgent to build a communication system suitable for the new power system business to support the status monitoring and information collection of intelligent equipment, and reconstruct the operation mode and service mode of the power system. The current network slicing is mainly based on packet switching, which does not match future power business scenarios in terms of security isolation, scheduling granularity, and guarantee mechanisms. </w:t>
      </w:r>
      <w:proofErr w:type="spellStart"/>
      <w:r>
        <w:t>FlexE</w:t>
      </w:r>
      <w:proofErr w:type="spellEnd"/>
      <w:r>
        <w:t xml:space="preserve"> is a new technology led by the international standards organization OIF (Optical Internetworking Forum). The Flex Shim layer is added to realize the characteristics of network flexibility, multi-rate, and rigid interface. It has the capabilities of bundling, </w:t>
      </w:r>
      <w:proofErr w:type="gramStart"/>
      <w:r>
        <w:t>channelization</w:t>
      </w:r>
      <w:proofErr w:type="gramEnd"/>
      <w:r>
        <w:t xml:space="preserve"> and sub rate, and has good compatibility with IP/Ethernet technology. At the same time, it can provide slice isolation mechanism based on Ethernet physical interface. The technology is one of the development directions of carrying new type power system business.</w:t>
      </w:r>
    </w:p>
    <w:p w14:paraId="1B683803" w14:textId="77777777" w:rsidR="00706F21" w:rsidRPr="00706F21" w:rsidRDefault="00706F21" w:rsidP="00706F21">
      <w:pPr>
        <w:pStyle w:val="1"/>
        <w:rPr>
          <w:rFonts w:eastAsia="MS Mincho"/>
        </w:rPr>
      </w:pPr>
      <w:r w:rsidRPr="00706F21">
        <w:rPr>
          <w:rFonts w:eastAsia="MS Mincho"/>
        </w:rPr>
        <w:t>FlexE Technology Principle</w:t>
      </w:r>
    </w:p>
    <w:p w14:paraId="0839950C" w14:textId="77777777" w:rsidR="000B1409" w:rsidRDefault="000B1409" w:rsidP="00FE7E9A">
      <w:pPr>
        <w:pStyle w:val="a3"/>
      </w:pPr>
      <w:r w:rsidRPr="000B1409">
        <w:t xml:space="preserve">With the continuous enrichment of power grid, more diversified communication requirements are proposed. Some requirements for flexible bandwidth, low latency and security isolation will become the basis for secure and stable access to energy Internet services. The application of </w:t>
      </w:r>
      <w:proofErr w:type="spellStart"/>
      <w:r w:rsidRPr="000B1409">
        <w:t>FlexE</w:t>
      </w:r>
      <w:proofErr w:type="spellEnd"/>
      <w:r w:rsidRPr="000B1409">
        <w:t xml:space="preserve"> can effectively meet the requirements. At the same time, it builds an "exclusive" network for different services in multiple access scenarios with agile and customizable capabilities. </w:t>
      </w:r>
      <w:proofErr w:type="spellStart"/>
      <w:r w:rsidRPr="000B1409">
        <w:t>FlexE</w:t>
      </w:r>
      <w:proofErr w:type="spellEnd"/>
      <w:r w:rsidRPr="000B1409">
        <w:t xml:space="preserve"> slice isolation technology can accurately match the business communication needs of the new type power system, and can achieve zero packet loss, very low delay, very low </w:t>
      </w:r>
      <w:proofErr w:type="gramStart"/>
      <w:r w:rsidRPr="000B1409">
        <w:t>jitter</w:t>
      </w:r>
      <w:proofErr w:type="gramEnd"/>
      <w:r w:rsidRPr="000B1409">
        <w:t xml:space="preserve"> and physical isolation. The </w:t>
      </w:r>
      <w:proofErr w:type="spellStart"/>
      <w:r w:rsidRPr="000B1409">
        <w:t>FlexE</w:t>
      </w:r>
      <w:proofErr w:type="spellEnd"/>
      <w:r w:rsidRPr="000B1409">
        <w:t xml:space="preserve"> architecture includes the </w:t>
      </w:r>
      <w:proofErr w:type="spellStart"/>
      <w:r w:rsidRPr="000B1409">
        <w:t>FlexE</w:t>
      </w:r>
      <w:proofErr w:type="spellEnd"/>
      <w:r w:rsidRPr="000B1409">
        <w:t xml:space="preserve"> client, </w:t>
      </w:r>
      <w:proofErr w:type="spellStart"/>
      <w:r w:rsidRPr="000B1409">
        <w:t>FlexE</w:t>
      </w:r>
      <w:proofErr w:type="spellEnd"/>
      <w:r w:rsidRPr="000B1409">
        <w:t xml:space="preserve"> Shim</w:t>
      </w:r>
      <w:r w:rsidR="00413BCA">
        <w:t>,</w:t>
      </w:r>
      <w:r w:rsidRPr="000B1409">
        <w:t xml:space="preserve"> and </w:t>
      </w:r>
      <w:proofErr w:type="spellStart"/>
      <w:r w:rsidRPr="000B1409">
        <w:t>FlexE</w:t>
      </w:r>
      <w:proofErr w:type="spellEnd"/>
      <w:r w:rsidRPr="000B1409">
        <w:t xml:space="preserve"> group. </w:t>
      </w:r>
      <w:proofErr w:type="spellStart"/>
      <w:r w:rsidRPr="000B1409">
        <w:t>FlexE</w:t>
      </w:r>
      <w:proofErr w:type="spellEnd"/>
      <w:r w:rsidRPr="000B1409">
        <w:t xml:space="preserve"> technology realizes the decoupling of MAC (Media Access Control) layer and PHY (Physical) layer by introducing </w:t>
      </w:r>
      <w:proofErr w:type="spellStart"/>
      <w:r w:rsidRPr="000B1409">
        <w:t>FlexE</w:t>
      </w:r>
      <w:proofErr w:type="spellEnd"/>
      <w:r w:rsidRPr="000B1409">
        <w:t xml:space="preserve"> Shim layer </w:t>
      </w:r>
      <w:proofErr w:type="gramStart"/>
      <w:r w:rsidRPr="000B1409">
        <w:t>on the basis of</w:t>
      </w:r>
      <w:proofErr w:type="gramEnd"/>
      <w:r w:rsidRPr="000B1409">
        <w:t xml:space="preserve"> IEEE802.3, thus realizing flexible rate matching [12][13]. </w:t>
      </w:r>
      <w:r>
        <w:rPr>
          <w:color w:val="000000"/>
          <w:sz w:val="22"/>
          <w:szCs w:val="22"/>
        </w:rPr>
        <w:t>Fig.</w:t>
      </w:r>
      <w:r w:rsidR="0012022C">
        <w:rPr>
          <w:color w:val="000000"/>
          <w:sz w:val="22"/>
          <w:szCs w:val="22"/>
        </w:rPr>
        <w:t xml:space="preserve"> </w:t>
      </w:r>
      <w:r>
        <w:rPr>
          <w:color w:val="000000"/>
          <w:sz w:val="22"/>
          <w:szCs w:val="22"/>
        </w:rPr>
        <w:t xml:space="preserve">2 </w:t>
      </w:r>
      <w:r w:rsidRPr="000B1409">
        <w:t xml:space="preserve">compares the differences between standard Ethernet and </w:t>
      </w:r>
      <w:proofErr w:type="spellStart"/>
      <w:r w:rsidRPr="000B1409">
        <w:t>FlexE</w:t>
      </w:r>
      <w:proofErr w:type="spellEnd"/>
      <w:r w:rsidRPr="000B1409">
        <w:t>.</w:t>
      </w:r>
    </w:p>
    <w:p w14:paraId="2417AB8D" w14:textId="77777777" w:rsidR="004254F2" w:rsidRDefault="006B0404" w:rsidP="008B23F6">
      <w:pPr>
        <w:pStyle w:val="a3"/>
        <w:snapToGrid w:val="0"/>
        <w:spacing w:after="0" w:line="240" w:lineRule="auto"/>
        <w:ind w:firstLine="0"/>
        <w:jc w:val="center"/>
      </w:pPr>
      <w:r>
        <w:lastRenderedPageBreak/>
        <w:pict w14:anchorId="3BB70193">
          <v:shape id="_x0000_i1026" type="#_x0000_t75" style="width:110.25pt;height:104.25pt;mso-position-horizontal:absolute;mso-position-vertical:absolute">
            <v:imagedata r:id="rId9" o:title="232"/>
          </v:shape>
        </w:pict>
      </w:r>
    </w:p>
    <w:p w14:paraId="3B1D10EC" w14:textId="77777777" w:rsidR="004254F2" w:rsidRPr="00C235F7" w:rsidRDefault="004254F2" w:rsidP="004E56E3">
      <w:pPr>
        <w:pStyle w:val="figurecaption"/>
        <w:ind w:left="357" w:hanging="357"/>
        <w:rPr>
          <w:rFonts w:eastAsia="MS Mincho"/>
        </w:rPr>
      </w:pPr>
      <w:r w:rsidRPr="004254F2">
        <w:rPr>
          <w:rFonts w:eastAsia="MS Mincho"/>
        </w:rPr>
        <w:t>Co</w:t>
      </w:r>
      <w:r>
        <w:rPr>
          <w:rFonts w:eastAsia="MS Mincho"/>
        </w:rPr>
        <w:t xml:space="preserve">mparison of standard Ethernet </w:t>
      </w:r>
      <w:r w:rsidRPr="004254F2">
        <w:rPr>
          <w:rFonts w:eastAsia="MS Mincho"/>
        </w:rPr>
        <w:t>and FlexE</w:t>
      </w:r>
      <w:r w:rsidRPr="001A53B1">
        <w:rPr>
          <w:rFonts w:hint="eastAsia"/>
          <w:lang w:eastAsia="zh-CN"/>
        </w:rPr>
        <w:t>.</w:t>
      </w:r>
    </w:p>
    <w:p w14:paraId="651EF943" w14:textId="77777777" w:rsidR="00A72B4C" w:rsidRDefault="00A72B4C" w:rsidP="00A72B4C">
      <w:pPr>
        <w:pStyle w:val="a3"/>
      </w:pPr>
      <w:r>
        <w:t xml:space="preserve">The </w:t>
      </w:r>
      <w:proofErr w:type="spellStart"/>
      <w:r>
        <w:t>FlexE</w:t>
      </w:r>
      <w:proofErr w:type="spellEnd"/>
      <w:r>
        <w:t xml:space="preserve"> based on the client/group architecture can support the mapping and transmission of any number of different sub-interfaces (</w:t>
      </w:r>
      <w:proofErr w:type="spellStart"/>
      <w:r>
        <w:t>FlexE</w:t>
      </w:r>
      <w:proofErr w:type="spellEnd"/>
      <w:r>
        <w:t xml:space="preserve"> client) on any set of PHYs (</w:t>
      </w:r>
      <w:proofErr w:type="spellStart"/>
      <w:r>
        <w:t>FlexE</w:t>
      </w:r>
      <w:proofErr w:type="spellEnd"/>
      <w:r>
        <w:t xml:space="preserve"> group), thereby realizing the above functions such as bundling, channelization and sub-rate.</w:t>
      </w:r>
    </w:p>
    <w:p w14:paraId="704D5CC6" w14:textId="77777777" w:rsidR="00A72B4C" w:rsidRDefault="00A72B4C" w:rsidP="00A72B4C">
      <w:pPr>
        <w:pStyle w:val="a3"/>
      </w:pPr>
      <w:r>
        <w:t xml:space="preserve">(1) </w:t>
      </w:r>
      <w:proofErr w:type="spellStart"/>
      <w:r>
        <w:t>FlexE</w:t>
      </w:r>
      <w:proofErr w:type="spellEnd"/>
      <w:r>
        <w:t xml:space="preserve"> client: It is applicable to multiple interfaces of various types of networks and is consistent with traditional service interfaces in existing IP/Ethernet. The </w:t>
      </w:r>
      <w:proofErr w:type="spellStart"/>
      <w:r>
        <w:t>FlexE</w:t>
      </w:r>
      <w:proofErr w:type="spellEnd"/>
      <w:r>
        <w:t xml:space="preserve"> client can flexibly configure bandwidth according to requirements, and support Ethernet MAC data streams of various rates (such as 10 G, 40 G, n × 25 G data stream, non-standard rate data stream), and data can be converted through 64 B/66 B encoding. This data flow can be transferred to the </w:t>
      </w:r>
      <w:proofErr w:type="spellStart"/>
      <w:r>
        <w:t>FlexE</w:t>
      </w:r>
      <w:proofErr w:type="spellEnd"/>
      <w:r>
        <w:t xml:space="preserve"> Shim layer.</w:t>
      </w:r>
    </w:p>
    <w:p w14:paraId="62ED052C" w14:textId="77777777" w:rsidR="00A72B4C" w:rsidRDefault="00A72B4C" w:rsidP="00A72B4C">
      <w:pPr>
        <w:pStyle w:val="a3"/>
      </w:pPr>
      <w:r>
        <w:t xml:space="preserve"> (2) </w:t>
      </w:r>
      <w:proofErr w:type="spellStart"/>
      <w:r>
        <w:t>FlexE</w:t>
      </w:r>
      <w:proofErr w:type="spellEnd"/>
      <w:r>
        <w:t xml:space="preserve"> Shim: As an additional logic layer inserted between MAC and PHY of Ethernet framework, the key of </w:t>
      </w:r>
      <w:proofErr w:type="spellStart"/>
      <w:r>
        <w:t>FlexE</w:t>
      </w:r>
      <w:proofErr w:type="spellEnd"/>
      <w:r>
        <w:t xml:space="preserve"> technology is implemented through a </w:t>
      </w:r>
      <w:proofErr w:type="gramStart"/>
      <w:r>
        <w:t>calendar based</w:t>
      </w:r>
      <w:proofErr w:type="gramEnd"/>
      <w:r>
        <w:t xml:space="preserve"> timeslot allocation mechanism.</w:t>
      </w:r>
    </w:p>
    <w:p w14:paraId="39EC62E5" w14:textId="77777777" w:rsidR="00A72B4C" w:rsidRDefault="00A72B4C" w:rsidP="00A72B4C">
      <w:pPr>
        <w:pStyle w:val="a3"/>
      </w:pPr>
      <w:r>
        <w:t xml:space="preserve">(3) </w:t>
      </w:r>
      <w:proofErr w:type="spellStart"/>
      <w:r>
        <w:t>FlexE</w:t>
      </w:r>
      <w:proofErr w:type="spellEnd"/>
      <w:r>
        <w:t xml:space="preserve"> group: It belongs to the Ethernet PHY layer defined by IEEE 802.3 standard. By reusing the existing Ethernet technology defined by IEEE 802.3, the </w:t>
      </w:r>
      <w:proofErr w:type="spellStart"/>
      <w:r>
        <w:t>FlexE</w:t>
      </w:r>
      <w:proofErr w:type="spellEnd"/>
      <w:r>
        <w:t xml:space="preserve"> architecture further enhances the adaptability to various scenarios </w:t>
      </w:r>
      <w:proofErr w:type="gramStart"/>
      <w:r>
        <w:t>on the basis of</w:t>
      </w:r>
      <w:proofErr w:type="gramEnd"/>
      <w:r>
        <w:t xml:space="preserve"> the existing Ethernet MAC/PHY.</w:t>
      </w:r>
    </w:p>
    <w:p w14:paraId="3C9AB2F9" w14:textId="77777777" w:rsidR="00A72B4C" w:rsidRDefault="00A72B4C" w:rsidP="00A72B4C">
      <w:pPr>
        <w:pStyle w:val="a3"/>
      </w:pPr>
      <w:r>
        <w:t xml:space="preserve">Taking the application of </w:t>
      </w:r>
      <w:proofErr w:type="spellStart"/>
      <w:r>
        <w:t>FlexE</w:t>
      </w:r>
      <w:proofErr w:type="spellEnd"/>
      <w:r>
        <w:t xml:space="preserve"> in point-to-point scenarios as an example, multiple Ethernet PHYs are combined into a </w:t>
      </w:r>
      <w:proofErr w:type="spellStart"/>
      <w:r>
        <w:t>FlexE</w:t>
      </w:r>
      <w:proofErr w:type="spellEnd"/>
      <w:r>
        <w:t xml:space="preserve"> group, and one or more </w:t>
      </w:r>
      <w:proofErr w:type="spellStart"/>
      <w:r>
        <w:t>FlexE</w:t>
      </w:r>
      <w:proofErr w:type="spellEnd"/>
      <w:r>
        <w:t xml:space="preserve"> client data streams are distributed and mapped through </w:t>
      </w:r>
      <w:proofErr w:type="spellStart"/>
      <w:r>
        <w:t>FlexE</w:t>
      </w:r>
      <w:proofErr w:type="spellEnd"/>
      <w:r>
        <w:t xml:space="preserve"> Shim. The core of </w:t>
      </w:r>
      <w:proofErr w:type="spellStart"/>
      <w:r>
        <w:t>FlexE</w:t>
      </w:r>
      <w:proofErr w:type="spellEnd"/>
      <w:r>
        <w:t xml:space="preserve"> is implemented through the </w:t>
      </w:r>
      <w:proofErr w:type="spellStart"/>
      <w:r>
        <w:t>FlexE</w:t>
      </w:r>
      <w:proofErr w:type="spellEnd"/>
      <w:r>
        <w:t xml:space="preserve"> Shim layer, which can divide each 100 GE PHY in the </w:t>
      </w:r>
      <w:proofErr w:type="spellStart"/>
      <w:r>
        <w:t>FlexE</w:t>
      </w:r>
      <w:proofErr w:type="spellEnd"/>
      <w:r>
        <w:t xml:space="preserve"> group into 20 slots (time slots) data carrying channels, and this group of slots corresponding to each PHY is called a sub-calendar, where the bandwidth corresponding to each slot is 5Gbps. The Ethernet   frame in the original data stream of the </w:t>
      </w:r>
      <w:proofErr w:type="spellStart"/>
      <w:r>
        <w:t>FlexE</w:t>
      </w:r>
      <w:proofErr w:type="spellEnd"/>
      <w:r>
        <w:t xml:space="preserve"> client is divided in units of block atomic data blocks (data blocks coded for 64/66 B). These atomic data blocks can be distributed among multiple PHYs and time slots in a </w:t>
      </w:r>
      <w:proofErr w:type="spellStart"/>
      <w:r>
        <w:t>FlexE</w:t>
      </w:r>
      <w:proofErr w:type="spellEnd"/>
      <w:r>
        <w:t xml:space="preserve"> group through the </w:t>
      </w:r>
      <w:proofErr w:type="spellStart"/>
      <w:r>
        <w:t>FlexE</w:t>
      </w:r>
      <w:proofErr w:type="spellEnd"/>
      <w:r>
        <w:t xml:space="preserve"> Shim [14].</w:t>
      </w:r>
    </w:p>
    <w:p w14:paraId="15D0D4C0" w14:textId="77777777" w:rsidR="008B23F6" w:rsidRDefault="008B23F6" w:rsidP="00A72B4C">
      <w:pPr>
        <w:pStyle w:val="a3"/>
      </w:pPr>
      <w:r w:rsidRPr="008B23F6">
        <w:t xml:space="preserve">The minimum granularity defined by the current OIF is 5 Gbps, and the utilization rate of the channel is not high in the scenario where the power communication network carries low-rate services. Some manufacturers are working on extending and dividing time slots </w:t>
      </w:r>
      <w:proofErr w:type="gramStart"/>
      <w:r w:rsidRPr="008B23F6">
        <w:t xml:space="preserve">on the basis </w:t>
      </w:r>
      <w:r w:rsidRPr="008B23F6">
        <w:t>of</w:t>
      </w:r>
      <w:proofErr w:type="gramEnd"/>
      <w:r w:rsidRPr="008B23F6">
        <w:t xml:space="preserve"> 5 Gbps granularity, dividing into more sub-slots, achieving 1 Gbps granularity, and completing finer isolation. The realization of 1 Gbps granularity does not change the time slot division method of 5 Gbps granularity, but expands the 5Gbps time slot from the time dimension, and five 1Gbps data occupy one </w:t>
      </w:r>
      <w:proofErr w:type="spellStart"/>
      <w:r w:rsidRPr="008B23F6">
        <w:t>FlexE</w:t>
      </w:r>
      <w:proofErr w:type="spellEnd"/>
      <w:r w:rsidRPr="008B23F6">
        <w:t xml:space="preserve"> standard 5 Gbps time slot through time division multiplexing. As shown in Fig</w:t>
      </w:r>
      <w:r w:rsidR="00306C88">
        <w:t>.</w:t>
      </w:r>
      <w:r w:rsidRPr="008B23F6">
        <w:t xml:space="preserve"> 3, each 5 Gbps slot is split into multiple 1 Gbps slots (indicated by 5 colors). In multiple timeslot transmission cycles, 5 color blocks are transmitted alternately, and the timeslots of the original 5 Gbps channel are evenly distributed, thereby realizing the </w:t>
      </w:r>
      <w:proofErr w:type="spellStart"/>
      <w:r w:rsidRPr="008B23F6">
        <w:t>FlexE</w:t>
      </w:r>
      <w:proofErr w:type="spellEnd"/>
      <w:r w:rsidRPr="008B23F6">
        <w:t xml:space="preserve"> small particle carrying capacity. Since the time slot division structure of </w:t>
      </w:r>
      <w:proofErr w:type="spellStart"/>
      <w:r w:rsidRPr="008B23F6">
        <w:t>FlexE</w:t>
      </w:r>
      <w:proofErr w:type="spellEnd"/>
      <w:r w:rsidRPr="008B23F6">
        <w:t xml:space="preserve"> has not been changed, the overall 1 Gbps granularity is compatible with the main structure defined by the OIF standard. On this basis, according to business needs, further research can be done to divide the slices into smaller granularity.</w:t>
      </w:r>
    </w:p>
    <w:p w14:paraId="077E7882" w14:textId="77777777" w:rsidR="00A93ECA" w:rsidRDefault="006B0404" w:rsidP="00A93ECA">
      <w:pPr>
        <w:pStyle w:val="a3"/>
        <w:snapToGrid w:val="0"/>
        <w:spacing w:after="0" w:line="240" w:lineRule="auto"/>
        <w:ind w:firstLine="0"/>
        <w:jc w:val="center"/>
        <w:rPr>
          <w:noProof/>
        </w:rPr>
      </w:pPr>
      <w:r>
        <w:rPr>
          <w:noProof/>
        </w:rPr>
        <w:pict w14:anchorId="76C44641">
          <v:shape id="图片 24" o:spid="_x0000_i1027" type="#_x0000_t75" style="width:231.75pt;height:124.5pt;visibility:visible;mso-position-horizontal:absolute">
            <v:imagedata r:id="rId10" o:title=""/>
          </v:shape>
        </w:pict>
      </w:r>
    </w:p>
    <w:p w14:paraId="19E1D3E4" w14:textId="77777777" w:rsidR="0061391A" w:rsidRPr="00C235F7" w:rsidRDefault="00415DE7" w:rsidP="00387560">
      <w:pPr>
        <w:pStyle w:val="figurecaption"/>
        <w:spacing w:after="160"/>
        <w:ind w:left="357" w:hanging="357"/>
        <w:rPr>
          <w:rFonts w:eastAsia="MS Mincho"/>
        </w:rPr>
      </w:pPr>
      <w:r w:rsidRPr="00415DE7">
        <w:rPr>
          <w:rFonts w:eastAsia="MS Mincho"/>
        </w:rPr>
        <w:t>Structure of FlexE time slot</w:t>
      </w:r>
      <w:r w:rsidR="0061391A" w:rsidRPr="001A53B1">
        <w:rPr>
          <w:rFonts w:hint="eastAsia"/>
          <w:lang w:eastAsia="zh-CN"/>
        </w:rPr>
        <w:t>.</w:t>
      </w:r>
    </w:p>
    <w:p w14:paraId="078AA24E" w14:textId="77777777" w:rsidR="0061391A" w:rsidRPr="004E2F82" w:rsidRDefault="00F651F5" w:rsidP="004E2F82">
      <w:pPr>
        <w:pStyle w:val="1"/>
        <w:rPr>
          <w:rFonts w:eastAsia="MS Mincho"/>
        </w:rPr>
      </w:pPr>
      <w:r w:rsidRPr="00F651F5">
        <w:rPr>
          <w:rFonts w:eastAsia="MS Mincho"/>
        </w:rPr>
        <w:t>FlexE Application and Analysis</w:t>
      </w:r>
    </w:p>
    <w:p w14:paraId="6C8140F5" w14:textId="77777777" w:rsidR="00C235F7" w:rsidRDefault="00081E43" w:rsidP="00C235F7">
      <w:pPr>
        <w:pStyle w:val="a3"/>
      </w:pPr>
      <w:r w:rsidRPr="00081E43">
        <w:t xml:space="preserve">With the continuous emergence of new scenarios in the distribution network, the distribution communication network has formed new demands in terms of rapid networking and resource allocation. The characteristics of </w:t>
      </w:r>
      <w:proofErr w:type="spellStart"/>
      <w:r w:rsidRPr="00081E43">
        <w:t>FlexE</w:t>
      </w:r>
      <w:proofErr w:type="spellEnd"/>
      <w:r w:rsidRPr="00081E43">
        <w:t xml:space="preserve"> technology are in perfect fit with the business form of the new type power system [15]-[17]. The </w:t>
      </w:r>
      <w:proofErr w:type="spellStart"/>
      <w:r w:rsidRPr="00081E43">
        <w:t>FlexE</w:t>
      </w:r>
      <w:proofErr w:type="spellEnd"/>
      <w:r w:rsidRPr="00081E43">
        <w:t xml:space="preserve"> technology can realize on-demand bandwidth allocation, hard pipe isolation and low delay guarantee through physical isolation features such as large bandwidth interfaces, network slicing and channelized sub interfaces. At the same time, it can be combined with SDN technology to support future network architecture based on service experience to support the future development of high-bandwidth video, VR/AR, 5G and other services. Considering that the Ethernet   standard formulated by IEEE 802.3 is a fixed rate (such as 10 GE, 100 GE), it cannot meet the needs of flexible bandwidth-based networking. However, based on the </w:t>
      </w:r>
      <w:proofErr w:type="spellStart"/>
      <w:r w:rsidRPr="00081E43">
        <w:t>FlexE</w:t>
      </w:r>
      <w:proofErr w:type="spellEnd"/>
      <w:r w:rsidRPr="00081E43">
        <w:t xml:space="preserve"> bundling technology, the interface rate can be flexibly adjusted, thereby constructing a link with a larger bandwidth (such as 5×100 GE, 10×100 GE). When deploying services, it is not necessary to adjust the physical interface, and you can easily deploy services to the </w:t>
      </w:r>
      <w:proofErr w:type="spellStart"/>
      <w:r w:rsidRPr="00081E43">
        <w:t>FlexE</w:t>
      </w:r>
      <w:proofErr w:type="spellEnd"/>
      <w:r w:rsidRPr="00081E43">
        <w:t xml:space="preserve"> service interface.</w:t>
      </w:r>
    </w:p>
    <w:p w14:paraId="35A5E0CE" w14:textId="77777777" w:rsidR="00F21EFC" w:rsidRDefault="00F21EFC" w:rsidP="00F21EFC">
      <w:pPr>
        <w:pStyle w:val="a3"/>
        <w:ind w:firstLine="0"/>
        <w:sectPr w:rsidR="00F21EFC" w:rsidSect="00EC0FE6">
          <w:type w:val="continuous"/>
          <w:pgSz w:w="11909" w:h="16834" w:code="9"/>
          <w:pgMar w:top="1418" w:right="1134" w:bottom="2268" w:left="1134" w:header="720" w:footer="720" w:gutter="0"/>
          <w:cols w:num="2" w:space="360"/>
          <w:docGrid w:linePitch="360"/>
        </w:sectPr>
      </w:pPr>
    </w:p>
    <w:p w14:paraId="37AE0498" w14:textId="77777777" w:rsidR="00F21EFC" w:rsidRDefault="006B0404" w:rsidP="00F21EFC">
      <w:pPr>
        <w:pStyle w:val="a3"/>
        <w:ind w:firstLine="0"/>
        <w:jc w:val="center"/>
        <w:sectPr w:rsidR="00F21EFC" w:rsidSect="00F21EFC">
          <w:type w:val="continuous"/>
          <w:pgSz w:w="11909" w:h="16834" w:code="9"/>
          <w:pgMar w:top="1418" w:right="1134" w:bottom="2268" w:left="1134" w:header="720" w:footer="720" w:gutter="0"/>
          <w:cols w:space="360"/>
          <w:docGrid w:linePitch="360"/>
        </w:sectPr>
      </w:pPr>
      <w:r>
        <w:lastRenderedPageBreak/>
        <w:pict w14:anchorId="62C8345B">
          <v:shape id="_x0000_i1028" type="#_x0000_t75" style="width:432.75pt;height:223.5pt">
            <v:imagedata r:id="rId11" o:title="微信截图_20221108151348"/>
          </v:shape>
        </w:pict>
      </w:r>
    </w:p>
    <w:p w14:paraId="29F3192E" w14:textId="77777777" w:rsidR="00456ABE" w:rsidRPr="00C235F7" w:rsidRDefault="00456ABE" w:rsidP="00456ABE">
      <w:pPr>
        <w:pStyle w:val="figurecaption"/>
        <w:rPr>
          <w:rFonts w:eastAsia="MS Mincho"/>
        </w:rPr>
      </w:pPr>
      <w:r w:rsidRPr="00456ABE">
        <w:rPr>
          <w:rFonts w:eastAsia="MS Mincho"/>
        </w:rPr>
        <w:t>Schematic diagram of FlexE technology carrying multiple services</w:t>
      </w:r>
      <w:r w:rsidRPr="001A53B1">
        <w:rPr>
          <w:rFonts w:hint="eastAsia"/>
          <w:lang w:eastAsia="zh-CN"/>
        </w:rPr>
        <w:t>.</w:t>
      </w:r>
    </w:p>
    <w:p w14:paraId="6E19CB01" w14:textId="77777777" w:rsidR="00456ABE" w:rsidRDefault="00456ABE" w:rsidP="00F21EFC">
      <w:pPr>
        <w:pStyle w:val="a3"/>
        <w:ind w:firstLine="0"/>
        <w:sectPr w:rsidR="00456ABE" w:rsidSect="00456ABE">
          <w:type w:val="continuous"/>
          <w:pgSz w:w="11909" w:h="16834" w:code="9"/>
          <w:pgMar w:top="1418" w:right="1134" w:bottom="2268" w:left="1134" w:header="720" w:footer="720" w:gutter="0"/>
          <w:cols w:space="360"/>
          <w:docGrid w:linePitch="360"/>
        </w:sectPr>
      </w:pPr>
    </w:p>
    <w:p w14:paraId="6E8DE8A3" w14:textId="77777777" w:rsidR="00081E43" w:rsidRDefault="00B065A8" w:rsidP="00B065A8">
      <w:pPr>
        <w:pStyle w:val="a3"/>
      </w:pPr>
      <w:r w:rsidRPr="00B065A8">
        <w:t xml:space="preserve">The OIF </w:t>
      </w:r>
      <w:proofErr w:type="spellStart"/>
      <w:r w:rsidRPr="00B065A8">
        <w:t>FlexE</w:t>
      </w:r>
      <w:proofErr w:type="spellEnd"/>
      <w:r w:rsidRPr="00B065A8">
        <w:t xml:space="preserve"> standard defines three flexible Ethernet mapping modes in optical transmission network: unaware, termination and aware [18]. The unaware mode is consistent with the traditional Ethernet interface by PCS codewords transparent mapping. This situation is </w:t>
      </w:r>
      <w:proofErr w:type="gramStart"/>
      <w:r w:rsidRPr="00B065A8">
        <w:t>similar to</w:t>
      </w:r>
      <w:proofErr w:type="gramEnd"/>
      <w:r w:rsidRPr="00B065A8">
        <w:t xml:space="preserve"> optical transport networks transparently carrying flexible Ethernet interfaces. This mode can perfectly match the existing optical transmission network equipment, and can achieve end-to-end ultra-large bandwidth channels across optical transmission networks without hardware upgrading. In termination mode, the optical transmission network detects and recovers the </w:t>
      </w:r>
      <w:proofErr w:type="spellStart"/>
      <w:r w:rsidRPr="00B065A8">
        <w:t>FlexE</w:t>
      </w:r>
      <w:proofErr w:type="spellEnd"/>
      <w:r w:rsidRPr="00B065A8">
        <w:t xml:space="preserve"> client data stream from the </w:t>
      </w:r>
      <w:proofErr w:type="spellStart"/>
      <w:r w:rsidRPr="00B065A8">
        <w:t>FlexE</w:t>
      </w:r>
      <w:proofErr w:type="spellEnd"/>
      <w:r w:rsidRPr="00B065A8">
        <w:t xml:space="preserve"> UNI </w:t>
      </w:r>
      <w:r w:rsidR="00774EF4">
        <w:t>(</w:t>
      </w:r>
      <w:r w:rsidR="00774EF4" w:rsidRPr="00774EF4">
        <w:t>User Network Interface</w:t>
      </w:r>
      <w:r w:rsidR="00774EF4">
        <w:t>)</w:t>
      </w:r>
      <w:r w:rsidRPr="00B065A8">
        <w:t xml:space="preserve">, and maps it to the optical transmission network for data transmission. This mode is consistent with the traditional Ethernet interface on the optical transmission network, and can implement functions such as grooming the traffic of different </w:t>
      </w:r>
      <w:proofErr w:type="spellStart"/>
      <w:r w:rsidRPr="00B065A8">
        <w:t>FlexE</w:t>
      </w:r>
      <w:proofErr w:type="spellEnd"/>
      <w:r w:rsidRPr="00B065A8">
        <w:t xml:space="preserve"> clients in the optical transmission network. In aware transport mode, </w:t>
      </w:r>
      <w:proofErr w:type="spellStart"/>
      <w:r w:rsidRPr="00B065A8">
        <w:t>FlexE</w:t>
      </w:r>
      <w:proofErr w:type="spellEnd"/>
      <w:r w:rsidRPr="00B065A8">
        <w:t xml:space="preserve"> has good sub rate characteristics. This model marks the unavailable time slots by filling special error control block data blocks. The main steps are as follows: (1) when the </w:t>
      </w:r>
      <w:proofErr w:type="spellStart"/>
      <w:r w:rsidRPr="00B065A8">
        <w:t>FlexE</w:t>
      </w:r>
      <w:proofErr w:type="spellEnd"/>
      <w:r w:rsidRPr="00B065A8">
        <w:t xml:space="preserve"> interface on the UNI side is mapped to the optical transmission network, the optical transmission network directly discards the unavailable time slots; (2) The algorithm extracts the data to be carried according to the original data stream bandwidth; 3) The data is mapped to the rate matched optical transmission network for DWDM (Dense Wavelength Division Multiplexing) transmission. The optical transmission network equipment needs to be consistent with the configuration of the </w:t>
      </w:r>
      <w:proofErr w:type="spellStart"/>
      <w:r w:rsidRPr="00B065A8">
        <w:t>FlexE</w:t>
      </w:r>
      <w:proofErr w:type="spellEnd"/>
      <w:r w:rsidRPr="00B065A8">
        <w:t xml:space="preserve"> interface on the UNI side, </w:t>
      </w:r>
      <w:proofErr w:type="gramStart"/>
      <w:r w:rsidRPr="00B065A8">
        <w:t>so as to</w:t>
      </w:r>
      <w:proofErr w:type="gramEnd"/>
      <w:r w:rsidRPr="00B065A8">
        <w:t xml:space="preserve"> sense the </w:t>
      </w:r>
      <w:proofErr w:type="spellStart"/>
      <w:r w:rsidRPr="00B065A8">
        <w:t>FlexE</w:t>
      </w:r>
      <w:proofErr w:type="spellEnd"/>
      <w:r w:rsidRPr="00B065A8">
        <w:t xml:space="preserve"> UNI interface and carry out bearer transmission. Using the hard pipe technology in the IP network, an end-to-end rigid pipe can be constructed based on the </w:t>
      </w:r>
      <w:proofErr w:type="spellStart"/>
      <w:r w:rsidRPr="00B065A8">
        <w:t>FlexE</w:t>
      </w:r>
      <w:proofErr w:type="spellEnd"/>
      <w:r w:rsidRPr="00B065A8">
        <w:t xml:space="preserve"> channelization function for the bearer of important leased lines and low-latency-sensitive </w:t>
      </w:r>
      <w:r w:rsidRPr="00B065A8">
        <w:t xml:space="preserve">services. In the new distribution communication network system, the end-to-end hard pipe dedicated line of </w:t>
      </w:r>
      <w:proofErr w:type="spellStart"/>
      <w:r w:rsidRPr="00B065A8">
        <w:t>FlexE</w:t>
      </w:r>
      <w:proofErr w:type="spellEnd"/>
      <w:r w:rsidRPr="00B065A8">
        <w:t xml:space="preserve"> can make full use of existing network resources, and can provide high-quality service guarantee for specific high-value customer service [19][20].</w:t>
      </w:r>
    </w:p>
    <w:p w14:paraId="5522980B" w14:textId="77777777" w:rsidR="006B3E8D" w:rsidRPr="00DE1DD3" w:rsidRDefault="006B3E8D" w:rsidP="0059546E">
      <w:pPr>
        <w:pStyle w:val="tablehead"/>
        <w:spacing w:before="120"/>
        <w:rPr>
          <w:lang w:eastAsia="zh-CN"/>
        </w:rPr>
      </w:pPr>
      <w:r w:rsidRPr="00742873">
        <w:rPr>
          <w:lang w:eastAsia="zh-CN"/>
        </w:rPr>
        <w:t xml:space="preserve">Test </w:t>
      </w:r>
      <w:r>
        <w:rPr>
          <w:lang w:eastAsia="zh-CN"/>
        </w:rPr>
        <w:t>R</w:t>
      </w:r>
      <w:r w:rsidRPr="00742873">
        <w:rPr>
          <w:lang w:eastAsia="zh-CN"/>
        </w:rPr>
        <w:t>esults</w:t>
      </w:r>
    </w:p>
    <w:tbl>
      <w:tblPr>
        <w:tblW w:w="4628" w:type="dxa"/>
        <w:jc w:val="center"/>
        <w:tblBorders>
          <w:top w:val="single" w:sz="4" w:space="0" w:color="auto"/>
          <w:left w:val="single" w:sz="4" w:space="0" w:color="FFFFFF"/>
          <w:bottom w:val="single" w:sz="4" w:space="0" w:color="auto"/>
          <w:right w:val="single" w:sz="4" w:space="0" w:color="FFFFFF"/>
          <w:insideH w:val="single" w:sz="4" w:space="0" w:color="auto"/>
          <w:insideV w:val="single" w:sz="4" w:space="0" w:color="auto"/>
        </w:tblBorders>
        <w:tblCellMar>
          <w:left w:w="0" w:type="dxa"/>
          <w:right w:w="0" w:type="dxa"/>
        </w:tblCellMar>
        <w:tblLook w:val="0000" w:firstRow="0" w:lastRow="0" w:firstColumn="0" w:lastColumn="0" w:noHBand="0" w:noVBand="0"/>
      </w:tblPr>
      <w:tblGrid>
        <w:gridCol w:w="1258"/>
        <w:gridCol w:w="582"/>
        <w:gridCol w:w="537"/>
        <w:gridCol w:w="609"/>
        <w:gridCol w:w="536"/>
        <w:gridCol w:w="566"/>
        <w:gridCol w:w="540"/>
      </w:tblGrid>
      <w:tr w:rsidR="006B3E8D" w14:paraId="4F7CE11B" w14:textId="77777777" w:rsidTr="003E6E54">
        <w:trPr>
          <w:trHeight w:val="20"/>
          <w:jc w:val="center"/>
        </w:trPr>
        <w:tc>
          <w:tcPr>
            <w:tcW w:w="1360" w:type="pct"/>
            <w:tcMar>
              <w:top w:w="85" w:type="dxa"/>
              <w:left w:w="57" w:type="dxa"/>
              <w:bottom w:w="85" w:type="dxa"/>
              <w:right w:w="57" w:type="dxa"/>
            </w:tcMar>
            <w:vAlign w:val="center"/>
          </w:tcPr>
          <w:p w14:paraId="2B2FCE51" w14:textId="77777777" w:rsidR="006B3E8D" w:rsidRPr="001527A8" w:rsidRDefault="006B3E8D" w:rsidP="003E6E54">
            <w:pPr>
              <w:pStyle w:val="af1"/>
              <w:snapToGrid w:val="0"/>
              <w:spacing w:line="276" w:lineRule="auto"/>
              <w:rPr>
                <w:rFonts w:ascii="Times New Roman" w:eastAsia="方正书宋简体" w:cs="Times New Roman"/>
                <w:color w:val="auto"/>
                <w:lang w:val="en-US"/>
              </w:rPr>
            </w:pPr>
            <w:r w:rsidRPr="001527A8">
              <w:rPr>
                <w:rFonts w:ascii="Times New Roman" w:eastAsia="方正书宋简体" w:cs="Times New Roman"/>
                <w:color w:val="auto"/>
                <w:lang w:val="en-US"/>
              </w:rPr>
              <w:t>Test case</w:t>
            </w:r>
          </w:p>
        </w:tc>
        <w:tc>
          <w:tcPr>
            <w:tcW w:w="1209" w:type="pct"/>
            <w:gridSpan w:val="2"/>
            <w:vAlign w:val="center"/>
          </w:tcPr>
          <w:p w14:paraId="640AB79D" w14:textId="77777777" w:rsidR="006B3E8D" w:rsidRPr="001527A8" w:rsidRDefault="006B3E8D" w:rsidP="003E6E54">
            <w:pPr>
              <w:pStyle w:val="af1"/>
              <w:snapToGrid w:val="0"/>
              <w:spacing w:line="276" w:lineRule="auto"/>
              <w:rPr>
                <w:rFonts w:ascii="Times New Roman" w:eastAsia="方正书宋简体" w:cs="Times New Roman"/>
                <w:color w:val="auto"/>
                <w:lang w:val="en-US"/>
              </w:rPr>
            </w:pPr>
            <w:r w:rsidRPr="001527A8">
              <w:rPr>
                <w:rFonts w:ascii="Times New Roman" w:eastAsia="方正书宋简体" w:cs="Times New Roman" w:hint="eastAsia"/>
                <w:color w:val="auto"/>
                <w:lang w:val="en-US"/>
              </w:rPr>
              <w:t>M</w:t>
            </w:r>
            <w:r w:rsidRPr="001527A8">
              <w:rPr>
                <w:rFonts w:ascii="Times New Roman" w:eastAsia="方正书宋简体" w:cs="Times New Roman"/>
                <w:color w:val="auto"/>
                <w:lang w:val="en-US"/>
              </w:rPr>
              <w:t>aximum delay</w:t>
            </w:r>
          </w:p>
        </w:tc>
        <w:tc>
          <w:tcPr>
            <w:tcW w:w="1237" w:type="pct"/>
            <w:gridSpan w:val="2"/>
            <w:vAlign w:val="center"/>
          </w:tcPr>
          <w:p w14:paraId="0A32F91A" w14:textId="77777777" w:rsidR="006B3E8D" w:rsidRDefault="006B3E8D" w:rsidP="003E6E54">
            <w:pPr>
              <w:pStyle w:val="af1"/>
              <w:snapToGrid w:val="0"/>
              <w:spacing w:line="276" w:lineRule="auto"/>
              <w:rPr>
                <w:rFonts w:ascii="Times New Roman" w:eastAsia="方正书宋简体" w:cs="Times New Roman"/>
                <w:color w:val="auto"/>
              </w:rPr>
            </w:pPr>
            <w:r w:rsidRPr="001527A8">
              <w:rPr>
                <w:rFonts w:ascii="Times New Roman" w:eastAsia="方正书宋简体" w:cs="Times New Roman"/>
                <w:color w:val="auto"/>
                <w:lang w:val="en-US"/>
              </w:rPr>
              <w:t>Packet loss rate</w:t>
            </w:r>
          </w:p>
        </w:tc>
        <w:tc>
          <w:tcPr>
            <w:tcW w:w="1194" w:type="pct"/>
            <w:gridSpan w:val="2"/>
            <w:vAlign w:val="center"/>
          </w:tcPr>
          <w:p w14:paraId="608AFF9C" w14:textId="77777777" w:rsidR="006B3E8D" w:rsidRDefault="006B3E8D" w:rsidP="003E6E54">
            <w:pPr>
              <w:pStyle w:val="af1"/>
              <w:snapToGrid w:val="0"/>
              <w:spacing w:line="276" w:lineRule="auto"/>
              <w:rPr>
                <w:rFonts w:ascii="Times New Roman" w:eastAsia="方正书宋简体" w:cs="Times New Roman"/>
                <w:color w:val="auto"/>
              </w:rPr>
            </w:pPr>
            <w:r w:rsidRPr="001527A8">
              <w:rPr>
                <w:rFonts w:ascii="Times New Roman" w:eastAsia="方正书宋简体" w:cs="Times New Roman"/>
                <w:color w:val="auto"/>
              </w:rPr>
              <w:t>Maximum jitter</w:t>
            </w:r>
          </w:p>
        </w:tc>
      </w:tr>
      <w:tr w:rsidR="006B3E8D" w14:paraId="376EB21C" w14:textId="77777777" w:rsidTr="003E6E54">
        <w:trPr>
          <w:trHeight w:val="20"/>
          <w:jc w:val="center"/>
        </w:trPr>
        <w:tc>
          <w:tcPr>
            <w:tcW w:w="1360" w:type="pct"/>
            <w:tcMar>
              <w:top w:w="85" w:type="dxa"/>
              <w:left w:w="57" w:type="dxa"/>
              <w:bottom w:w="85" w:type="dxa"/>
              <w:right w:w="57" w:type="dxa"/>
            </w:tcMar>
            <w:vAlign w:val="center"/>
          </w:tcPr>
          <w:p w14:paraId="04D4B60F"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B</w:t>
            </w:r>
            <w:r w:rsidRPr="001527A8">
              <w:rPr>
                <w:rFonts w:ascii="Times New Roman" w:eastAsia="方正书宋简体" w:cs="Times New Roman"/>
                <w:color w:val="auto"/>
              </w:rPr>
              <w:t xml:space="preserve">usiness </w:t>
            </w:r>
            <w:r>
              <w:rPr>
                <w:rFonts w:ascii="Times New Roman" w:eastAsia="方正书宋简体" w:cs="Times New Roman"/>
                <w:color w:val="auto"/>
              </w:rPr>
              <w:t>t</w:t>
            </w:r>
            <w:r w:rsidRPr="001527A8">
              <w:rPr>
                <w:rFonts w:ascii="Times New Roman" w:eastAsia="方正书宋简体" w:cs="Times New Roman"/>
                <w:color w:val="auto"/>
              </w:rPr>
              <w:t>ype</w:t>
            </w:r>
          </w:p>
        </w:tc>
        <w:tc>
          <w:tcPr>
            <w:tcW w:w="629" w:type="pct"/>
            <w:vAlign w:val="center"/>
          </w:tcPr>
          <w:p w14:paraId="6F590A7B" w14:textId="77777777" w:rsidR="006B3E8D" w:rsidRDefault="006B3E8D" w:rsidP="003E6E54">
            <w:pPr>
              <w:pStyle w:val="af1"/>
              <w:snapToGrid w:val="0"/>
              <w:spacing w:line="276" w:lineRule="auto"/>
              <w:rPr>
                <w:rFonts w:ascii="Times New Roman" w:eastAsia="方正书宋简体" w:cs="Times New Roman"/>
                <w:color w:val="auto"/>
              </w:rPr>
            </w:pPr>
            <w:r w:rsidRPr="001527A8">
              <w:rPr>
                <w:rFonts w:ascii="Times New Roman" w:eastAsia="方正书宋简体" w:cs="Times New Roman"/>
                <w:color w:val="auto"/>
              </w:rPr>
              <w:t>Electric business</w:t>
            </w:r>
          </w:p>
        </w:tc>
        <w:tc>
          <w:tcPr>
            <w:tcW w:w="580" w:type="pct"/>
            <w:vAlign w:val="center"/>
          </w:tcPr>
          <w:p w14:paraId="45F3F0E4"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P</w:t>
            </w:r>
            <w:r w:rsidRPr="001527A8">
              <w:rPr>
                <w:rFonts w:ascii="Times New Roman" w:eastAsia="方正书宋简体" w:cs="Times New Roman"/>
                <w:color w:val="auto"/>
              </w:rPr>
              <w:t>ublic service</w:t>
            </w:r>
          </w:p>
        </w:tc>
        <w:tc>
          <w:tcPr>
            <w:tcW w:w="658" w:type="pct"/>
            <w:vAlign w:val="center"/>
          </w:tcPr>
          <w:p w14:paraId="3A6D3D5C" w14:textId="77777777" w:rsidR="006B3E8D" w:rsidRDefault="006B3E8D" w:rsidP="003E6E54">
            <w:pPr>
              <w:pStyle w:val="af1"/>
              <w:snapToGrid w:val="0"/>
              <w:spacing w:line="276" w:lineRule="auto"/>
              <w:rPr>
                <w:rFonts w:ascii="Times New Roman" w:eastAsia="方正书宋简体" w:cs="Times New Roman"/>
                <w:color w:val="auto"/>
              </w:rPr>
            </w:pPr>
            <w:r w:rsidRPr="001527A8">
              <w:rPr>
                <w:rFonts w:ascii="Times New Roman" w:eastAsia="方正书宋简体" w:cs="Times New Roman"/>
                <w:color w:val="auto"/>
              </w:rPr>
              <w:t>Electric business</w:t>
            </w:r>
          </w:p>
        </w:tc>
        <w:tc>
          <w:tcPr>
            <w:tcW w:w="579" w:type="pct"/>
            <w:vAlign w:val="center"/>
          </w:tcPr>
          <w:p w14:paraId="0BD7C6CB"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P</w:t>
            </w:r>
            <w:r w:rsidRPr="001527A8">
              <w:rPr>
                <w:rFonts w:ascii="Times New Roman" w:eastAsia="方正书宋简体" w:cs="Times New Roman"/>
                <w:color w:val="auto"/>
              </w:rPr>
              <w:t>ublic service</w:t>
            </w:r>
          </w:p>
        </w:tc>
        <w:tc>
          <w:tcPr>
            <w:tcW w:w="611" w:type="pct"/>
            <w:vAlign w:val="center"/>
          </w:tcPr>
          <w:p w14:paraId="6FF22173" w14:textId="77777777" w:rsidR="006B3E8D" w:rsidRDefault="006B3E8D" w:rsidP="003E6E54">
            <w:pPr>
              <w:pStyle w:val="af1"/>
              <w:snapToGrid w:val="0"/>
              <w:spacing w:line="276" w:lineRule="auto"/>
              <w:rPr>
                <w:rFonts w:ascii="Times New Roman" w:eastAsia="方正书宋简体" w:cs="Times New Roman"/>
                <w:color w:val="auto"/>
              </w:rPr>
            </w:pPr>
            <w:r w:rsidRPr="001527A8">
              <w:rPr>
                <w:rFonts w:ascii="Times New Roman" w:eastAsia="方正书宋简体" w:cs="Times New Roman"/>
                <w:color w:val="auto"/>
              </w:rPr>
              <w:t>Electric business</w:t>
            </w:r>
          </w:p>
        </w:tc>
        <w:tc>
          <w:tcPr>
            <w:tcW w:w="582" w:type="pct"/>
            <w:tcMar>
              <w:top w:w="85" w:type="dxa"/>
              <w:left w:w="57" w:type="dxa"/>
              <w:bottom w:w="85" w:type="dxa"/>
              <w:right w:w="57" w:type="dxa"/>
            </w:tcMar>
            <w:vAlign w:val="center"/>
          </w:tcPr>
          <w:p w14:paraId="36FA3276"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P</w:t>
            </w:r>
            <w:r w:rsidRPr="001527A8">
              <w:rPr>
                <w:rFonts w:ascii="Times New Roman" w:eastAsia="方正书宋简体" w:cs="Times New Roman"/>
                <w:color w:val="auto"/>
              </w:rPr>
              <w:t>ublic service</w:t>
            </w:r>
          </w:p>
        </w:tc>
      </w:tr>
      <w:tr w:rsidR="006B3E8D" w14:paraId="7D96940D" w14:textId="77777777" w:rsidTr="003E6E54">
        <w:trPr>
          <w:trHeight w:val="20"/>
          <w:jc w:val="center"/>
        </w:trPr>
        <w:tc>
          <w:tcPr>
            <w:tcW w:w="1360" w:type="pct"/>
            <w:tcMar>
              <w:top w:w="85" w:type="dxa"/>
              <w:left w:w="57" w:type="dxa"/>
              <w:bottom w:w="85" w:type="dxa"/>
              <w:right w:w="57" w:type="dxa"/>
            </w:tcMar>
            <w:vAlign w:val="center"/>
          </w:tcPr>
          <w:p w14:paraId="2CB39C76" w14:textId="77777777" w:rsidR="006B3E8D" w:rsidRDefault="006B3E8D" w:rsidP="003E6E54">
            <w:pPr>
              <w:pStyle w:val="af1"/>
              <w:snapToGrid w:val="0"/>
              <w:spacing w:line="276" w:lineRule="auto"/>
              <w:rPr>
                <w:rFonts w:ascii="Times New Roman" w:eastAsia="方正书宋简体" w:cs="Times New Roman"/>
                <w:color w:val="auto"/>
              </w:rPr>
            </w:pPr>
            <w:r w:rsidRPr="001527A8">
              <w:rPr>
                <w:rFonts w:ascii="Times New Roman" w:eastAsia="方正书宋简体" w:cs="Times New Roman"/>
                <w:color w:val="auto"/>
              </w:rPr>
              <w:t>Before congestion</w:t>
            </w:r>
          </w:p>
        </w:tc>
        <w:tc>
          <w:tcPr>
            <w:tcW w:w="629" w:type="pct"/>
            <w:vAlign w:val="center"/>
          </w:tcPr>
          <w:p w14:paraId="01862EDE"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1</w:t>
            </w:r>
            <w:r>
              <w:rPr>
                <w:rFonts w:ascii="Times New Roman" w:eastAsia="方正书宋简体" w:cs="Times New Roman"/>
                <w:color w:val="auto"/>
              </w:rPr>
              <w:t xml:space="preserve"> </w:t>
            </w:r>
            <w:r>
              <w:rPr>
                <w:rFonts w:ascii="Times New Roman" w:eastAsia="方正书宋简体" w:cs="Times New Roman" w:hint="eastAsia"/>
                <w:color w:val="auto"/>
              </w:rPr>
              <w:t>ms</w:t>
            </w:r>
          </w:p>
        </w:tc>
        <w:tc>
          <w:tcPr>
            <w:tcW w:w="580" w:type="pct"/>
            <w:vAlign w:val="center"/>
          </w:tcPr>
          <w:p w14:paraId="13C09F84"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1</w:t>
            </w:r>
            <w:r>
              <w:rPr>
                <w:rFonts w:ascii="Times New Roman" w:eastAsia="方正书宋简体" w:cs="Times New Roman"/>
                <w:color w:val="auto"/>
              </w:rPr>
              <w:t xml:space="preserve"> </w:t>
            </w:r>
            <w:r>
              <w:rPr>
                <w:rFonts w:ascii="Times New Roman" w:eastAsia="方正书宋简体" w:cs="Times New Roman" w:hint="eastAsia"/>
                <w:color w:val="auto"/>
              </w:rPr>
              <w:t>ms</w:t>
            </w:r>
          </w:p>
        </w:tc>
        <w:tc>
          <w:tcPr>
            <w:tcW w:w="658" w:type="pct"/>
            <w:vAlign w:val="center"/>
          </w:tcPr>
          <w:p w14:paraId="5FB44C84"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0</w:t>
            </w:r>
          </w:p>
        </w:tc>
        <w:tc>
          <w:tcPr>
            <w:tcW w:w="579" w:type="pct"/>
            <w:vAlign w:val="center"/>
          </w:tcPr>
          <w:p w14:paraId="22E846D3"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0</w:t>
            </w:r>
          </w:p>
        </w:tc>
        <w:tc>
          <w:tcPr>
            <w:tcW w:w="611" w:type="pct"/>
            <w:vAlign w:val="center"/>
          </w:tcPr>
          <w:p w14:paraId="43F1C6CC"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1</w:t>
            </w:r>
            <w:r>
              <w:rPr>
                <w:rFonts w:ascii="Times New Roman" w:eastAsia="方正书宋简体" w:cs="Times New Roman"/>
                <w:color w:val="auto"/>
              </w:rPr>
              <w:t>9 us</w:t>
            </w:r>
          </w:p>
        </w:tc>
        <w:tc>
          <w:tcPr>
            <w:tcW w:w="582" w:type="pct"/>
            <w:tcMar>
              <w:top w:w="85" w:type="dxa"/>
              <w:left w:w="57" w:type="dxa"/>
              <w:bottom w:w="85" w:type="dxa"/>
              <w:right w:w="57" w:type="dxa"/>
            </w:tcMar>
            <w:vAlign w:val="center"/>
          </w:tcPr>
          <w:p w14:paraId="2D645827"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1</w:t>
            </w:r>
            <w:r>
              <w:rPr>
                <w:rFonts w:ascii="Times New Roman" w:eastAsia="方正书宋简体" w:cs="Times New Roman"/>
                <w:color w:val="auto"/>
              </w:rPr>
              <w:t>9 us</w:t>
            </w:r>
          </w:p>
        </w:tc>
      </w:tr>
      <w:tr w:rsidR="006B3E8D" w14:paraId="7E032D17" w14:textId="77777777" w:rsidTr="003E6E54">
        <w:trPr>
          <w:trHeight w:val="20"/>
          <w:jc w:val="center"/>
        </w:trPr>
        <w:tc>
          <w:tcPr>
            <w:tcW w:w="1360" w:type="pct"/>
            <w:tcMar>
              <w:top w:w="85" w:type="dxa"/>
              <w:left w:w="57" w:type="dxa"/>
              <w:bottom w:w="85" w:type="dxa"/>
              <w:right w:w="57" w:type="dxa"/>
            </w:tcMar>
            <w:vAlign w:val="center"/>
          </w:tcPr>
          <w:p w14:paraId="14BAA64B"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S</w:t>
            </w:r>
            <w:r w:rsidRPr="001527A8">
              <w:rPr>
                <w:rFonts w:ascii="Times New Roman" w:eastAsia="方正书宋简体" w:cs="Times New Roman"/>
                <w:color w:val="auto"/>
              </w:rPr>
              <w:t>lice congestion</w:t>
            </w:r>
          </w:p>
        </w:tc>
        <w:tc>
          <w:tcPr>
            <w:tcW w:w="629" w:type="pct"/>
            <w:vAlign w:val="center"/>
          </w:tcPr>
          <w:p w14:paraId="578A508E" w14:textId="77777777" w:rsidR="006B3E8D" w:rsidRPr="00A86A32" w:rsidRDefault="006B3E8D" w:rsidP="003E6E54">
            <w:pPr>
              <w:pStyle w:val="af1"/>
              <w:snapToGrid w:val="0"/>
              <w:spacing w:line="276" w:lineRule="auto"/>
              <w:rPr>
                <w:rFonts w:ascii="Times New Roman" w:eastAsia="方正书宋简体" w:cs="Times New Roman"/>
                <w:color w:val="auto"/>
              </w:rPr>
            </w:pPr>
            <w:r w:rsidRPr="00C858BF">
              <w:rPr>
                <w:rFonts w:ascii="Times New Roman" w:eastAsia="方正书宋简体" w:cs="Times New Roman" w:hint="eastAsia"/>
                <w:color w:val="auto"/>
              </w:rPr>
              <w:t>1</w:t>
            </w:r>
            <w:r>
              <w:rPr>
                <w:rFonts w:ascii="Times New Roman" w:eastAsia="方正书宋简体" w:cs="Times New Roman"/>
                <w:color w:val="auto"/>
              </w:rPr>
              <w:t xml:space="preserve"> </w:t>
            </w:r>
            <w:r w:rsidRPr="00C858BF">
              <w:rPr>
                <w:rFonts w:ascii="Times New Roman" w:eastAsia="方正书宋简体" w:cs="Times New Roman" w:hint="eastAsia"/>
                <w:color w:val="auto"/>
              </w:rPr>
              <w:t>ms</w:t>
            </w:r>
          </w:p>
        </w:tc>
        <w:tc>
          <w:tcPr>
            <w:tcW w:w="580" w:type="pct"/>
            <w:vAlign w:val="center"/>
          </w:tcPr>
          <w:p w14:paraId="70413219"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 xml:space="preserve">28 </w:t>
            </w:r>
            <w:r>
              <w:rPr>
                <w:rFonts w:ascii="Times New Roman" w:eastAsia="方正书宋简体" w:cs="Times New Roman" w:hint="eastAsia"/>
                <w:color w:val="auto"/>
              </w:rPr>
              <w:t>ms</w:t>
            </w:r>
          </w:p>
        </w:tc>
        <w:tc>
          <w:tcPr>
            <w:tcW w:w="658" w:type="pct"/>
            <w:vAlign w:val="center"/>
          </w:tcPr>
          <w:p w14:paraId="102BD31C"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0</w:t>
            </w:r>
          </w:p>
        </w:tc>
        <w:tc>
          <w:tcPr>
            <w:tcW w:w="579" w:type="pct"/>
            <w:vAlign w:val="center"/>
          </w:tcPr>
          <w:p w14:paraId="7C4E8D8B"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2</w:t>
            </w:r>
            <w:r>
              <w:rPr>
                <w:rFonts w:ascii="Times New Roman" w:eastAsia="方正书宋简体" w:cs="Times New Roman"/>
                <w:color w:val="auto"/>
              </w:rPr>
              <w:t>2.7%</w:t>
            </w:r>
          </w:p>
        </w:tc>
        <w:tc>
          <w:tcPr>
            <w:tcW w:w="611" w:type="pct"/>
            <w:vAlign w:val="center"/>
          </w:tcPr>
          <w:p w14:paraId="6C990C6C"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1</w:t>
            </w:r>
            <w:r>
              <w:rPr>
                <w:rFonts w:ascii="Times New Roman" w:eastAsia="方正书宋简体" w:cs="Times New Roman"/>
                <w:color w:val="auto"/>
              </w:rPr>
              <w:t>7 us</w:t>
            </w:r>
          </w:p>
        </w:tc>
        <w:tc>
          <w:tcPr>
            <w:tcW w:w="582" w:type="pct"/>
            <w:tcMar>
              <w:top w:w="85" w:type="dxa"/>
              <w:left w:w="57" w:type="dxa"/>
              <w:bottom w:w="85" w:type="dxa"/>
              <w:right w:w="57" w:type="dxa"/>
            </w:tcMar>
            <w:vAlign w:val="center"/>
          </w:tcPr>
          <w:p w14:paraId="467E800C"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2</w:t>
            </w:r>
            <w:r>
              <w:rPr>
                <w:rFonts w:ascii="Times New Roman" w:eastAsia="方正书宋简体" w:cs="Times New Roman"/>
                <w:color w:val="auto"/>
              </w:rPr>
              <w:t>7us</w:t>
            </w:r>
          </w:p>
        </w:tc>
      </w:tr>
      <w:tr w:rsidR="006B3E8D" w14:paraId="0287E836" w14:textId="77777777" w:rsidTr="003E6E54">
        <w:trPr>
          <w:trHeight w:val="20"/>
          <w:jc w:val="center"/>
        </w:trPr>
        <w:tc>
          <w:tcPr>
            <w:tcW w:w="1360" w:type="pct"/>
            <w:tcMar>
              <w:top w:w="85" w:type="dxa"/>
              <w:left w:w="57" w:type="dxa"/>
              <w:bottom w:w="85" w:type="dxa"/>
              <w:right w:w="57" w:type="dxa"/>
            </w:tcMar>
            <w:vAlign w:val="center"/>
          </w:tcPr>
          <w:p w14:paraId="5AE5B84D"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S</w:t>
            </w:r>
            <w:r w:rsidRPr="001527A8">
              <w:rPr>
                <w:rFonts w:ascii="Times New Roman" w:eastAsia="方正书宋简体" w:cs="Times New Roman"/>
                <w:color w:val="auto"/>
              </w:rPr>
              <w:t>lice burst</w:t>
            </w:r>
          </w:p>
        </w:tc>
        <w:tc>
          <w:tcPr>
            <w:tcW w:w="629" w:type="pct"/>
            <w:vAlign w:val="center"/>
          </w:tcPr>
          <w:p w14:paraId="39DC4002" w14:textId="77777777" w:rsidR="006B3E8D" w:rsidRPr="00A86A32" w:rsidRDefault="006B3E8D" w:rsidP="003E6E54">
            <w:pPr>
              <w:pStyle w:val="af1"/>
              <w:snapToGrid w:val="0"/>
              <w:spacing w:line="276" w:lineRule="auto"/>
              <w:rPr>
                <w:rFonts w:ascii="Times New Roman" w:eastAsia="方正书宋简体" w:cs="Times New Roman"/>
                <w:color w:val="auto"/>
              </w:rPr>
            </w:pPr>
            <w:r w:rsidRPr="00C858BF">
              <w:rPr>
                <w:rFonts w:ascii="Times New Roman" w:eastAsia="方正书宋简体" w:cs="Times New Roman" w:hint="eastAsia"/>
                <w:color w:val="auto"/>
              </w:rPr>
              <w:t>1</w:t>
            </w:r>
            <w:r>
              <w:rPr>
                <w:rFonts w:ascii="Times New Roman" w:eastAsia="方正书宋简体" w:cs="Times New Roman"/>
                <w:color w:val="auto"/>
              </w:rPr>
              <w:t xml:space="preserve"> </w:t>
            </w:r>
            <w:r w:rsidRPr="00C858BF">
              <w:rPr>
                <w:rFonts w:ascii="Times New Roman" w:eastAsia="方正书宋简体" w:cs="Times New Roman" w:hint="eastAsia"/>
                <w:color w:val="auto"/>
              </w:rPr>
              <w:t>ms</w:t>
            </w:r>
          </w:p>
        </w:tc>
        <w:tc>
          <w:tcPr>
            <w:tcW w:w="580" w:type="pct"/>
            <w:vAlign w:val="center"/>
          </w:tcPr>
          <w:p w14:paraId="519064FE"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28</w:t>
            </w:r>
            <w:r>
              <w:rPr>
                <w:rFonts w:ascii="Times New Roman" w:eastAsia="方正书宋简体" w:cs="Times New Roman" w:hint="eastAsia"/>
                <w:color w:val="auto"/>
              </w:rPr>
              <w:t>ms</w:t>
            </w:r>
          </w:p>
        </w:tc>
        <w:tc>
          <w:tcPr>
            <w:tcW w:w="658" w:type="pct"/>
            <w:vAlign w:val="center"/>
          </w:tcPr>
          <w:p w14:paraId="2B7F3D11"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0</w:t>
            </w:r>
          </w:p>
        </w:tc>
        <w:tc>
          <w:tcPr>
            <w:tcW w:w="579" w:type="pct"/>
            <w:vAlign w:val="center"/>
          </w:tcPr>
          <w:p w14:paraId="4B567204"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0</w:t>
            </w:r>
          </w:p>
        </w:tc>
        <w:tc>
          <w:tcPr>
            <w:tcW w:w="611" w:type="pct"/>
            <w:vAlign w:val="center"/>
          </w:tcPr>
          <w:p w14:paraId="4E60F02C"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hint="eastAsia"/>
                <w:color w:val="auto"/>
              </w:rPr>
              <w:t>1</w:t>
            </w:r>
            <w:r>
              <w:rPr>
                <w:rFonts w:ascii="Times New Roman" w:eastAsia="方正书宋简体" w:cs="Times New Roman"/>
                <w:color w:val="auto"/>
              </w:rPr>
              <w:t>9 us</w:t>
            </w:r>
          </w:p>
        </w:tc>
        <w:tc>
          <w:tcPr>
            <w:tcW w:w="582" w:type="pct"/>
            <w:tcMar>
              <w:top w:w="85" w:type="dxa"/>
              <w:left w:w="57" w:type="dxa"/>
              <w:bottom w:w="85" w:type="dxa"/>
              <w:right w:w="57" w:type="dxa"/>
            </w:tcMar>
            <w:vAlign w:val="center"/>
          </w:tcPr>
          <w:p w14:paraId="77EAB753" w14:textId="77777777" w:rsidR="006B3E8D" w:rsidRDefault="006B3E8D" w:rsidP="003E6E54">
            <w:pPr>
              <w:pStyle w:val="af1"/>
              <w:snapToGrid w:val="0"/>
              <w:spacing w:line="276" w:lineRule="auto"/>
              <w:rPr>
                <w:rFonts w:ascii="Times New Roman" w:eastAsia="方正书宋简体" w:cs="Times New Roman"/>
                <w:color w:val="auto"/>
              </w:rPr>
            </w:pPr>
            <w:r>
              <w:rPr>
                <w:rFonts w:ascii="Times New Roman" w:eastAsia="方正书宋简体" w:cs="Times New Roman"/>
                <w:color w:val="auto"/>
              </w:rPr>
              <w:t>22 us</w:t>
            </w:r>
          </w:p>
        </w:tc>
      </w:tr>
    </w:tbl>
    <w:p w14:paraId="32E4193D" w14:textId="77777777" w:rsidR="00310391" w:rsidRDefault="00310391" w:rsidP="00310391">
      <w:pPr>
        <w:pStyle w:val="a3"/>
      </w:pPr>
      <w:r>
        <w:t xml:space="preserve">Some research teams completed the world's first 5G network differential protection distribution network line test in Shenzhen. The test is a staged field test of 5G smart grid applications. Due to the complex structure of the distribution communication network in the actual power grid, the differential protection service of the distribution network needs to run across the base station. The </w:t>
      </w:r>
      <w:proofErr w:type="spellStart"/>
      <w:r>
        <w:t>FlexE</w:t>
      </w:r>
      <w:proofErr w:type="spellEnd"/>
      <w:r>
        <w:t xml:space="preserve"> network can use network slices to ensure the safe isolation of control services and non-control services. The experimental results show that all indicators meet the millisecond level low delay and microsecond level high-precision netwo</w:t>
      </w:r>
      <w:r w:rsidR="006131E5">
        <w:t xml:space="preserve">rk timing requirements of </w:t>
      </w:r>
      <w:r>
        <w:t xml:space="preserve">control services. Power services and </w:t>
      </w:r>
      <w:proofErr w:type="spellStart"/>
      <w:r>
        <w:t>eMBB</w:t>
      </w:r>
      <w:proofErr w:type="spellEnd"/>
      <w:r>
        <w:t xml:space="preserve"> public network services are carried on different network slices. Then use the test instrument to simulate the traffic of the public network and fill the packets, simulate the two situations of the existing network </w:t>
      </w:r>
      <w:proofErr w:type="gramStart"/>
      <w:r>
        <w:t>congestion</w:t>
      </w:r>
      <w:proofErr w:type="gramEnd"/>
      <w:r>
        <w:t xml:space="preserve"> and burst, and test the impact of the delay and packet loss on the protection services in the first and second areas. The test results show that after the tester is loaded with congestion and burst traffic, the </w:t>
      </w:r>
      <w:r>
        <w:lastRenderedPageBreak/>
        <w:t xml:space="preserve">delay of the public network </w:t>
      </w:r>
      <w:proofErr w:type="spellStart"/>
      <w:r>
        <w:t>eMBB</w:t>
      </w:r>
      <w:proofErr w:type="spellEnd"/>
      <w:r>
        <w:t xml:space="preserve"> service increases, and the delay of the power service does not change significantly. As shown in Table 1, the test results show that the 5G network slice based on </w:t>
      </w:r>
      <w:proofErr w:type="spellStart"/>
      <w:r>
        <w:t>FlexE</w:t>
      </w:r>
      <w:proofErr w:type="spellEnd"/>
      <w:r>
        <w:t xml:space="preserve"> can ensure the security isolation of control services and non-control services, and the service indicators can meet the control service requirements of millisecond level low latency and microsecond level high-precision network timing.</w:t>
      </w:r>
    </w:p>
    <w:p w14:paraId="73A906C9" w14:textId="77777777" w:rsidR="00306C88" w:rsidRDefault="00310391" w:rsidP="00310391">
      <w:pPr>
        <w:pStyle w:val="a3"/>
      </w:pPr>
      <w:r>
        <w:t xml:space="preserve">Combined with the communication requirements of various businesses in the new type power system, the end-to-end hard pipeline is built based on the characteristics of </w:t>
      </w:r>
      <w:proofErr w:type="spellStart"/>
      <w:r>
        <w:t>FlexE</w:t>
      </w:r>
      <w:proofErr w:type="spellEnd"/>
      <w:r>
        <w:t xml:space="preserve"> technology. The combination of "soft </w:t>
      </w:r>
      <w:proofErr w:type="spellStart"/>
      <w:r>
        <w:t>pipeline+hard</w:t>
      </w:r>
      <w:proofErr w:type="spellEnd"/>
      <w:r>
        <w:t xml:space="preserve"> pipeline" provides differentiated transmission services for power business applications of different important levels. This mode can not only maximize the use of network resources, but also provide reliable protection for high-value applications such as </w:t>
      </w:r>
      <w:proofErr w:type="spellStart"/>
      <w:r>
        <w:t>uRLLC</w:t>
      </w:r>
      <w:proofErr w:type="spellEnd"/>
      <w:r>
        <w:t xml:space="preserve">. Network slicing meets the bearing requirements of different services by dividing network resources, and guarantees service SLAs. According to the 5G white paper released by NGMN, </w:t>
      </w:r>
      <w:proofErr w:type="spellStart"/>
      <w:r>
        <w:t>sharding</w:t>
      </w:r>
      <w:proofErr w:type="spellEnd"/>
      <w:r>
        <w:t xml:space="preserve"> can realize different services to be carried in the same IP network (such as </w:t>
      </w:r>
      <w:proofErr w:type="spellStart"/>
      <w:r>
        <w:t>eMBB</w:t>
      </w:r>
      <w:proofErr w:type="spellEnd"/>
      <w:r>
        <w:t xml:space="preserve"> enhanced broadband, autonomous driving,</w:t>
      </w:r>
      <w:r w:rsidR="00232189">
        <w:t xml:space="preserve"> </w:t>
      </w:r>
      <w:proofErr w:type="spellStart"/>
      <w:r>
        <w:t>uRLLC</w:t>
      </w:r>
      <w:proofErr w:type="spellEnd"/>
      <w:r>
        <w:t xml:space="preserve">). The channelization technology of </w:t>
      </w:r>
      <w:proofErr w:type="spellStart"/>
      <w:r>
        <w:t>FlexE</w:t>
      </w:r>
      <w:proofErr w:type="spellEnd"/>
      <w:r>
        <w:t xml:space="preserve"> provides physical segmentation and mutual isolation between different </w:t>
      </w:r>
      <w:proofErr w:type="spellStart"/>
      <w:r>
        <w:t>FlexE</w:t>
      </w:r>
      <w:proofErr w:type="spellEnd"/>
      <w:r>
        <w:t xml:space="preserve"> clients at the interface level, and is combined with router architecture to build end-to-end network segmentation. Figure 4 shows a schematic of the </w:t>
      </w:r>
      <w:proofErr w:type="spellStart"/>
      <w:r>
        <w:t>FlexE</w:t>
      </w:r>
      <w:proofErr w:type="spellEnd"/>
      <w:r>
        <w:t xml:space="preserve"> technology that hosts multiple services. The research and application of </w:t>
      </w:r>
      <w:proofErr w:type="spellStart"/>
      <w:r>
        <w:t>FlexE</w:t>
      </w:r>
      <w:proofErr w:type="spellEnd"/>
      <w:r>
        <w:t xml:space="preserve"> technology can greatly improve the performance of information exchange of new power business in the future.</w:t>
      </w:r>
    </w:p>
    <w:p w14:paraId="367644C2" w14:textId="77777777" w:rsidR="00486BFC" w:rsidRPr="001A53B1" w:rsidRDefault="005C70D9" w:rsidP="00486BFC">
      <w:pPr>
        <w:pStyle w:val="1"/>
        <w:rPr>
          <w:lang w:eastAsia="zh-CN"/>
        </w:rPr>
      </w:pPr>
      <w:r w:rsidRPr="001A53B1">
        <w:rPr>
          <w:rFonts w:hint="eastAsia"/>
          <w:lang w:eastAsia="zh-CN"/>
        </w:rPr>
        <w:t>Conclusions</w:t>
      </w:r>
    </w:p>
    <w:p w14:paraId="72388424" w14:textId="77777777" w:rsidR="003C62E6" w:rsidRDefault="00DE0B4A" w:rsidP="005C70D9">
      <w:pPr>
        <w:pStyle w:val="a3"/>
      </w:pPr>
      <w:r w:rsidRPr="00DE0B4A">
        <w:t xml:space="preserve">By carrying out forward-looking application analysis of </w:t>
      </w:r>
      <w:proofErr w:type="spellStart"/>
      <w:r w:rsidRPr="00DE0B4A">
        <w:t>FlexE</w:t>
      </w:r>
      <w:proofErr w:type="spellEnd"/>
      <w:r w:rsidRPr="00DE0B4A">
        <w:t xml:space="preserve"> technology in new type power systems, based on flexible Ethernet   technology, a network framework, networking technology, control strategy, and application verification that conform to typical power business scenarios can be constructed to realize end-to-end power typical business scenarios. Safety isolation, ultra-low latency, and ultra-high reliability requirements. At the same time, in the multi-service access scenario, it can promote the resource optimization of the power communication network, and provide support for the comprehensive improvement of large-scale service acce</w:t>
      </w:r>
      <w:r>
        <w:t>ss of the new type power system</w:t>
      </w:r>
      <w:r w:rsidR="00E248A7">
        <w:t xml:space="preserve">. </w:t>
      </w:r>
    </w:p>
    <w:p w14:paraId="7D3245B9" w14:textId="77777777" w:rsidR="005004A0" w:rsidRPr="006F0C01" w:rsidRDefault="005004A0" w:rsidP="005004A0">
      <w:pPr>
        <w:pStyle w:val="5"/>
        <w:rPr>
          <w:noProof w:val="0"/>
          <w:lang w:eastAsia="zh-CN"/>
        </w:rPr>
      </w:pPr>
      <w:r>
        <w:rPr>
          <w:rFonts w:eastAsia="MS Mincho"/>
          <w:noProof w:val="0"/>
        </w:rPr>
        <w:t>Acknowledgment</w:t>
      </w:r>
    </w:p>
    <w:p w14:paraId="0CA9B2BC" w14:textId="77777777" w:rsidR="00EE4362" w:rsidRPr="00D3480E" w:rsidRDefault="0059546E" w:rsidP="0059546E">
      <w:pPr>
        <w:ind w:firstLineChars="100" w:firstLine="200"/>
        <w:jc w:val="both"/>
        <w:rPr>
          <w:lang w:eastAsia="zh-CN"/>
        </w:rPr>
      </w:pPr>
      <w:r w:rsidRPr="0059546E">
        <w:t>This research was sponsored by the Science and Technology Project of State Grid Information &amp; Telecommunication Branch (2022-2-19).</w:t>
      </w:r>
    </w:p>
    <w:p w14:paraId="653A98C2" w14:textId="77777777" w:rsidR="008A55B5" w:rsidRDefault="008A55B5">
      <w:pPr>
        <w:pStyle w:val="5"/>
        <w:rPr>
          <w:rFonts w:eastAsia="MS Mincho"/>
        </w:rPr>
      </w:pPr>
      <w:r>
        <w:rPr>
          <w:rFonts w:eastAsia="MS Mincho"/>
        </w:rPr>
        <w:t>References</w:t>
      </w:r>
    </w:p>
    <w:p w14:paraId="140328BD" w14:textId="77777777" w:rsidR="0049178B" w:rsidRDefault="0049178B" w:rsidP="00DE658A">
      <w:pPr>
        <w:pStyle w:val="references"/>
        <w:numPr>
          <w:ilvl w:val="0"/>
          <w:numId w:val="0"/>
        </w:numPr>
        <w:ind w:left="360"/>
        <w:rPr>
          <w:rFonts w:eastAsia="MS Mincho"/>
          <w:lang w:eastAsia="zh-CN"/>
        </w:rPr>
      </w:pPr>
    </w:p>
    <w:p w14:paraId="583EA177" w14:textId="77777777" w:rsidR="0049178B" w:rsidRPr="0049178B" w:rsidRDefault="0049178B" w:rsidP="0049178B">
      <w:pPr>
        <w:pStyle w:val="references"/>
        <w:rPr>
          <w:rFonts w:eastAsia="MS Mincho"/>
          <w:lang w:eastAsia="zh-CN"/>
        </w:rPr>
      </w:pPr>
      <w:r w:rsidRPr="0049178B">
        <w:rPr>
          <w:rFonts w:eastAsia="MS Mincho"/>
          <w:lang w:eastAsia="zh-CN"/>
        </w:rPr>
        <w:t>Y.B. Shu, G.P. Chen, J.B. He, et al, “Building a new electric power system based on new energy sources,” Strategic Study of CAE, vol. 23, issue 6, pp. 61-69, 2021.</w:t>
      </w:r>
    </w:p>
    <w:p w14:paraId="75C54505" w14:textId="77777777" w:rsidR="0049178B" w:rsidRPr="0049178B" w:rsidRDefault="0049178B" w:rsidP="0049178B">
      <w:pPr>
        <w:pStyle w:val="references"/>
        <w:rPr>
          <w:rFonts w:eastAsia="MS Mincho"/>
          <w:lang w:eastAsia="zh-CN"/>
        </w:rPr>
      </w:pPr>
      <w:r w:rsidRPr="0049178B">
        <w:rPr>
          <w:rFonts w:eastAsia="MS Mincho"/>
          <w:lang w:eastAsia="zh-CN"/>
        </w:rPr>
        <w:t>L. Kong, W. Pei, J.Y. Rao, et al, “Build new power system to promote carbon neutrality,” Bulletin of Chinese Academy of Sciences, vol. 37, issue 4, pp. 522-528, 2022.</w:t>
      </w:r>
    </w:p>
    <w:p w14:paraId="2BF5B526" w14:textId="77777777" w:rsidR="0049178B" w:rsidRPr="0049178B" w:rsidRDefault="0049178B" w:rsidP="0049178B">
      <w:pPr>
        <w:pStyle w:val="references"/>
        <w:rPr>
          <w:rFonts w:eastAsia="MS Mincho"/>
          <w:lang w:eastAsia="zh-CN"/>
        </w:rPr>
      </w:pPr>
      <w:r w:rsidRPr="0049178B">
        <w:rPr>
          <w:rFonts w:eastAsia="MS Mincho"/>
          <w:lang w:eastAsia="zh-CN"/>
        </w:rPr>
        <w:t>J. Ding, X.Y. Wang, Y.N. Shao, et al, “Analysis on influencing factors of new power system,” Electrical Engineering, vol. 23, issue 7, pp. 42-45, 2022.</w:t>
      </w:r>
    </w:p>
    <w:p w14:paraId="0C332EAD" w14:textId="77777777" w:rsidR="0049178B" w:rsidRPr="0049178B" w:rsidRDefault="0049178B" w:rsidP="0049178B">
      <w:pPr>
        <w:pStyle w:val="references"/>
        <w:rPr>
          <w:rFonts w:eastAsia="MS Mincho"/>
          <w:lang w:eastAsia="zh-CN"/>
        </w:rPr>
      </w:pPr>
      <w:r w:rsidRPr="0049178B">
        <w:rPr>
          <w:rFonts w:eastAsia="MS Mincho"/>
          <w:lang w:eastAsia="zh-CN"/>
        </w:rPr>
        <w:t>H.Y. Chen, W.J. Cai, J.R. Chen, “Power Internet of things technology with energy and information fusion,” Power System Protection and Control, vol. 49, issue 22, pp. 8-17, 2021.</w:t>
      </w:r>
    </w:p>
    <w:p w14:paraId="22925B59" w14:textId="77777777" w:rsidR="0049178B" w:rsidRPr="0049178B" w:rsidRDefault="0049178B" w:rsidP="0049178B">
      <w:pPr>
        <w:pStyle w:val="references"/>
        <w:rPr>
          <w:rFonts w:eastAsia="MS Mincho"/>
          <w:lang w:eastAsia="zh-CN"/>
        </w:rPr>
      </w:pPr>
      <w:r w:rsidRPr="0049178B">
        <w:rPr>
          <w:rFonts w:eastAsia="MS Mincho"/>
          <w:lang w:eastAsia="zh-CN"/>
        </w:rPr>
        <w:t>Q.H. Ou, S.X. Wang, R. She, et al, “Exploration of power communication network requirements and application scenarios for new power systems,” Distribution &amp; Utilization, vol. 39, issue 2, pp. 1-8.21, 2022.</w:t>
      </w:r>
    </w:p>
    <w:p w14:paraId="63C71728" w14:textId="77777777" w:rsidR="0049178B" w:rsidRPr="0049178B" w:rsidRDefault="0049178B" w:rsidP="0049178B">
      <w:pPr>
        <w:pStyle w:val="references"/>
        <w:rPr>
          <w:rFonts w:eastAsia="MS Mincho"/>
          <w:lang w:eastAsia="zh-CN"/>
        </w:rPr>
      </w:pPr>
      <w:r w:rsidRPr="0049178B">
        <w:rPr>
          <w:rFonts w:eastAsia="MS Mincho"/>
          <w:lang w:eastAsia="zh-CN"/>
        </w:rPr>
        <w:t>S.L. Lv, J. Ding, H.B. Zhang, et al, “Research and Thinking on the Standard System of New Power System Smart IoT Perception Technology,” Electric Power Information and Communication Technology, vol. 19, issue 8, pp. 39-46, 2021.</w:t>
      </w:r>
    </w:p>
    <w:p w14:paraId="67D051B7" w14:textId="77777777" w:rsidR="0049178B" w:rsidRPr="0049178B" w:rsidRDefault="0049178B" w:rsidP="0049178B">
      <w:pPr>
        <w:pStyle w:val="references"/>
        <w:rPr>
          <w:rFonts w:eastAsia="MS Mincho"/>
          <w:lang w:eastAsia="zh-CN"/>
        </w:rPr>
      </w:pPr>
      <w:r w:rsidRPr="0049178B">
        <w:rPr>
          <w:rFonts w:eastAsia="MS Mincho"/>
          <w:lang w:eastAsia="zh-CN"/>
        </w:rPr>
        <w:t>Y.L. He, X.L. Song, L.H. Huang, et al, “Integrated energy metering system of newly born business based on object-oriented concept,” Renewable Energy Resources, vol. 39, issue 3, pp. 408-413, 2021.</w:t>
      </w:r>
    </w:p>
    <w:p w14:paraId="3DDBC0CF" w14:textId="77777777" w:rsidR="0049178B" w:rsidRPr="0049178B" w:rsidRDefault="0049178B" w:rsidP="0049178B">
      <w:pPr>
        <w:pStyle w:val="references"/>
        <w:rPr>
          <w:rFonts w:eastAsia="MS Mincho"/>
          <w:lang w:eastAsia="zh-CN"/>
        </w:rPr>
      </w:pPr>
      <w:r w:rsidRPr="0049178B">
        <w:rPr>
          <w:rFonts w:eastAsia="MS Mincho"/>
          <w:lang w:eastAsia="zh-CN"/>
        </w:rPr>
        <w:t>X.L. Yang, B.L. Bian, Y.H. Zhang, et al, “Intelligent terminal distributed control communication solutions for new power distribution system,” Journal of Global Energy Interconnection, vol. 5, issue 3, pp. 282-289, 2022.</w:t>
      </w:r>
    </w:p>
    <w:p w14:paraId="32808B2F" w14:textId="77777777" w:rsidR="0049178B" w:rsidRPr="0049178B" w:rsidRDefault="0049178B" w:rsidP="0049178B">
      <w:pPr>
        <w:pStyle w:val="references"/>
        <w:rPr>
          <w:rFonts w:eastAsia="MS Mincho"/>
          <w:lang w:eastAsia="zh-CN"/>
        </w:rPr>
      </w:pPr>
      <w:r w:rsidRPr="0049178B">
        <w:rPr>
          <w:rFonts w:eastAsia="MS Mincho"/>
          <w:lang w:eastAsia="zh-CN"/>
        </w:rPr>
        <w:t>L. Wang, “Application of new energy storage system in power supply of communication base station,” Moder Architecture Electric, vol. 13, issue 5, pp. 58-62, 2022.</w:t>
      </w:r>
    </w:p>
    <w:p w14:paraId="08685694" w14:textId="77777777" w:rsidR="0049178B" w:rsidRPr="0049178B" w:rsidRDefault="0049178B" w:rsidP="0049178B">
      <w:pPr>
        <w:pStyle w:val="references"/>
        <w:rPr>
          <w:rFonts w:eastAsia="MS Mincho"/>
          <w:lang w:eastAsia="zh-CN"/>
        </w:rPr>
      </w:pPr>
      <w:r w:rsidRPr="0049178B">
        <w:rPr>
          <w:rFonts w:eastAsia="MS Mincho"/>
          <w:lang w:eastAsia="zh-CN"/>
        </w:rPr>
        <w:t xml:space="preserve">P.Z. Li, Z.F. Xiao, Z.W. Chen, et al, “Analysis of communication matching technology of power terminal communication access network,” Journal of Electric Power Science and Technology, vol. 36, issue 3, pp. 125-134, 2021. </w:t>
      </w:r>
    </w:p>
    <w:p w14:paraId="25CE30B4" w14:textId="77777777" w:rsidR="0049178B" w:rsidRPr="0049178B" w:rsidRDefault="0049178B" w:rsidP="0049178B">
      <w:pPr>
        <w:pStyle w:val="references"/>
        <w:rPr>
          <w:rFonts w:eastAsia="MS Mincho"/>
          <w:lang w:eastAsia="zh-CN"/>
        </w:rPr>
      </w:pPr>
      <w:r w:rsidRPr="0049178B">
        <w:rPr>
          <w:rFonts w:eastAsia="MS Mincho"/>
          <w:lang w:eastAsia="zh-CN"/>
        </w:rPr>
        <w:t>F.L. Yang, Y.W. Chen, X.P. Wu, et al, “Study on selection of communication access networks for typical terminal units in power grid,” Electric Power Information and Communication Technology, vol. 19, issue 4, pp. 91-97, 2021.</w:t>
      </w:r>
    </w:p>
    <w:p w14:paraId="722F210F" w14:textId="77777777" w:rsidR="0049178B" w:rsidRPr="0049178B" w:rsidRDefault="0049178B" w:rsidP="0049178B">
      <w:pPr>
        <w:pStyle w:val="references"/>
        <w:rPr>
          <w:rFonts w:eastAsia="MS Mincho"/>
          <w:lang w:eastAsia="zh-CN"/>
        </w:rPr>
      </w:pPr>
      <w:r w:rsidRPr="0049178B">
        <w:rPr>
          <w:rFonts w:eastAsia="MS Mincho"/>
          <w:lang w:eastAsia="zh-CN"/>
        </w:rPr>
        <w:t>OIF, “Ethernet alliance pair on FlexE demonstration at OFC 2019,”  Optical networks and WDM, vol. 23, issue 4, p. 2, 2019.</w:t>
      </w:r>
    </w:p>
    <w:p w14:paraId="15143B15" w14:textId="77777777" w:rsidR="0049178B" w:rsidRPr="0049178B" w:rsidRDefault="0049178B" w:rsidP="0049178B">
      <w:pPr>
        <w:pStyle w:val="references"/>
        <w:rPr>
          <w:rFonts w:eastAsia="MS Mincho"/>
          <w:lang w:eastAsia="zh-CN"/>
        </w:rPr>
      </w:pPr>
      <w:r w:rsidRPr="0049178B">
        <w:rPr>
          <w:rFonts w:eastAsia="MS Mincho"/>
          <w:lang w:eastAsia="zh-CN"/>
        </w:rPr>
        <w:t xml:space="preserve">Y.Y. Yin, G.D. Lin, G.M. Yang, et al, “FlexE slicing technology for STN bearer network to 5G,” Telecommunications Science, vol. 37, issue 7, pp. 126-133, 2021. </w:t>
      </w:r>
    </w:p>
    <w:p w14:paraId="442B4735" w14:textId="77777777" w:rsidR="0049178B" w:rsidRPr="0049178B" w:rsidRDefault="0049178B" w:rsidP="0049178B">
      <w:pPr>
        <w:pStyle w:val="references"/>
        <w:rPr>
          <w:rFonts w:eastAsia="MS Mincho"/>
          <w:lang w:eastAsia="zh-CN"/>
        </w:rPr>
      </w:pPr>
      <w:r w:rsidRPr="0049178B">
        <w:rPr>
          <w:rFonts w:eastAsia="MS Mincho"/>
          <w:lang w:eastAsia="zh-CN"/>
        </w:rPr>
        <w:t>Z.Y. Ding, W. Li, Y.F. Cheng, et al, “Slice network framework and use cases based on FlexE technology for power services,” IEEE Conference on International Wireless Communications and Mobile Computing, pp. 57-62, 2021.</w:t>
      </w:r>
    </w:p>
    <w:p w14:paraId="4B578708" w14:textId="77777777" w:rsidR="0049178B" w:rsidRPr="0049178B" w:rsidRDefault="0049178B" w:rsidP="0049178B">
      <w:pPr>
        <w:pStyle w:val="references"/>
        <w:rPr>
          <w:rFonts w:eastAsia="MS Mincho"/>
          <w:lang w:eastAsia="zh-CN"/>
        </w:rPr>
      </w:pPr>
      <w:r w:rsidRPr="0049178B">
        <w:rPr>
          <w:rFonts w:eastAsia="MS Mincho"/>
          <w:lang w:eastAsia="zh-CN"/>
        </w:rPr>
        <w:t>J. Song, D. Yong, C. Hao, et al, “A novel FlexE-based slicing business hosting equipment empowering Energy Internet,” IEEE 4th International Conference on Power, Intelligent Computing and Systems, pp. 547-551, 2022.</w:t>
      </w:r>
    </w:p>
    <w:p w14:paraId="77E42262" w14:textId="77777777" w:rsidR="0049178B" w:rsidRPr="0049178B" w:rsidRDefault="0049178B" w:rsidP="0049178B">
      <w:pPr>
        <w:pStyle w:val="references"/>
        <w:rPr>
          <w:rFonts w:eastAsia="MS Mincho"/>
          <w:lang w:eastAsia="zh-CN"/>
        </w:rPr>
      </w:pPr>
      <w:r w:rsidRPr="0049178B">
        <w:rPr>
          <w:rFonts w:eastAsia="MS Mincho"/>
          <w:lang w:eastAsia="zh-CN"/>
        </w:rPr>
        <w:t>H. Cai, D. Wang, Y. Shu, et al, “Energy Internet oriented FlexE hierarchical business hosting mechanism,” IEEE International Conference on Artificial Intelligence and Computer Applications, pp. 275-279, 2022.</w:t>
      </w:r>
    </w:p>
    <w:p w14:paraId="0607F9B3" w14:textId="77777777" w:rsidR="0049178B" w:rsidRPr="0049178B" w:rsidRDefault="0049178B" w:rsidP="0049178B">
      <w:pPr>
        <w:pStyle w:val="references"/>
        <w:rPr>
          <w:rFonts w:eastAsia="MS Mincho"/>
          <w:lang w:eastAsia="zh-CN"/>
        </w:rPr>
      </w:pPr>
      <w:r w:rsidRPr="0049178B">
        <w:rPr>
          <w:rFonts w:eastAsia="MS Mincho"/>
          <w:lang w:eastAsia="zh-CN"/>
        </w:rPr>
        <w:t>Y. Dai, S. Jiang, D. Wang, et al, “A FlexE-based flexible bandwidth slicing and scheduling model for the Energy Internet,” IEEE International Conference on Artificial Intelligence and Computer Applications, pp. 263-267, 2022.</w:t>
      </w:r>
    </w:p>
    <w:p w14:paraId="7B02F14F" w14:textId="77777777" w:rsidR="0049178B" w:rsidRPr="0049178B" w:rsidRDefault="0049178B" w:rsidP="0049178B">
      <w:pPr>
        <w:pStyle w:val="references"/>
        <w:rPr>
          <w:rFonts w:eastAsia="MS Mincho"/>
          <w:lang w:eastAsia="zh-CN"/>
        </w:rPr>
      </w:pPr>
      <w:r w:rsidRPr="0049178B">
        <w:rPr>
          <w:rFonts w:eastAsia="MS Mincho"/>
          <w:lang w:eastAsia="zh-CN"/>
        </w:rPr>
        <w:t>B. Wheeler, “Microchip brings FlexE to routers,” Microprocessor report, vol. 33, issue 7, pp. 4-5, 2019.</w:t>
      </w:r>
    </w:p>
    <w:p w14:paraId="3AF06720" w14:textId="77777777" w:rsidR="0049178B" w:rsidRPr="0049178B" w:rsidRDefault="0049178B" w:rsidP="0049178B">
      <w:pPr>
        <w:pStyle w:val="references"/>
        <w:rPr>
          <w:rFonts w:eastAsia="MS Mincho"/>
          <w:lang w:eastAsia="zh-CN"/>
        </w:rPr>
      </w:pPr>
      <w:r w:rsidRPr="0049178B">
        <w:rPr>
          <w:rFonts w:eastAsia="MS Mincho"/>
          <w:lang w:eastAsia="zh-CN"/>
        </w:rPr>
        <w:t>M. Zhang, “Flex Ethernet technology and application in 5G mobile transport network,” China Communications, vol. 18, issue 2, pp. 250-258, 2021.</w:t>
      </w:r>
    </w:p>
    <w:p w14:paraId="33B1012E" w14:textId="77777777" w:rsidR="0049178B" w:rsidRDefault="0049178B" w:rsidP="0049178B">
      <w:pPr>
        <w:pStyle w:val="references"/>
        <w:rPr>
          <w:rFonts w:eastAsia="MS Mincho"/>
          <w:lang w:eastAsia="zh-CN"/>
        </w:rPr>
      </w:pPr>
      <w:r w:rsidRPr="0049178B">
        <w:rPr>
          <w:rFonts w:eastAsia="MS Mincho"/>
          <w:lang w:eastAsia="zh-CN"/>
        </w:rPr>
        <w:t>M. Wu, N. L. S. Da Fonseca and Z. Zhu, “Dynamic cross-layer restoration to resolve packet layer outages in FlexE-Over-EONs,” IEEE Transactions on Network and Service Management, vol. 19, issue. 3, pp. 2600-2611, 2022.</w:t>
      </w:r>
    </w:p>
    <w:p w14:paraId="28871149" w14:textId="77777777" w:rsidR="00672354" w:rsidRPr="000C7022" w:rsidRDefault="00672354" w:rsidP="0049178B">
      <w:pPr>
        <w:pStyle w:val="references"/>
        <w:rPr>
          <w:rFonts w:eastAsia="MS Mincho"/>
          <w:lang w:eastAsia="zh-CN"/>
        </w:rPr>
        <w:sectPr w:rsidR="00672354" w:rsidRPr="000C7022" w:rsidSect="00EC0FE6">
          <w:type w:val="continuous"/>
          <w:pgSz w:w="11909" w:h="16834" w:code="9"/>
          <w:pgMar w:top="1418" w:right="1134" w:bottom="2268" w:left="1134" w:header="720" w:footer="720" w:gutter="0"/>
          <w:cols w:num="2" w:space="360"/>
          <w:docGrid w:linePitch="360"/>
        </w:sectPr>
      </w:pPr>
    </w:p>
    <w:p w14:paraId="60AEF39C" w14:textId="77777777" w:rsidR="008A55B5" w:rsidRDefault="008A55B5" w:rsidP="00DE658A">
      <w:pPr>
        <w:jc w:val="both"/>
        <w:rPr>
          <w:lang w:eastAsia="zh-CN"/>
        </w:rPr>
      </w:pPr>
    </w:p>
    <w:sectPr w:rsidR="008A55B5" w:rsidSect="00EC0FE6">
      <w:type w:val="continuous"/>
      <w:pgSz w:w="11909" w:h="16834" w:code="9"/>
      <w:pgMar w:top="1418" w:right="1134" w:bottom="226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02D4" w14:textId="77777777" w:rsidR="00BD565D" w:rsidRDefault="00BD565D">
      <w:r>
        <w:separator/>
      </w:r>
    </w:p>
  </w:endnote>
  <w:endnote w:type="continuationSeparator" w:id="0">
    <w:p w14:paraId="7247D02A" w14:textId="77777777" w:rsidR="00BD565D" w:rsidRDefault="00BD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TC-65b96b634e665b8b*+times">
    <w:altName w:val="宋体"/>
    <w:charset w:val="86"/>
    <w:family w:val="auto"/>
    <w:pitch w:val="default"/>
    <w:sig w:usb0="00000001" w:usb1="080E0000" w:usb2="00000010" w:usb3="00000000" w:csb0="00040000" w:csb1="00000000"/>
  </w:font>
  <w:font w:name="方正书宋简体">
    <w:altName w:val="宋体"/>
    <w:charset w:val="00"/>
    <w:family w:val="auto"/>
    <w:pitch w:val="default"/>
    <w:sig w:usb0="00000000" w:usb1="00000000" w:usb2="00000012"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6497" w14:textId="77777777" w:rsidR="00BD565D" w:rsidRDefault="00BD565D">
      <w:r>
        <w:separator/>
      </w:r>
    </w:p>
  </w:footnote>
  <w:footnote w:type="continuationSeparator" w:id="0">
    <w:p w14:paraId="2B8D59B8" w14:textId="77777777" w:rsidR="00BD565D" w:rsidRDefault="00BD5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21629EA"/>
    <w:multiLevelType w:val="hybridMultilevel"/>
    <w:tmpl w:val="3D22AE86"/>
    <w:lvl w:ilvl="0" w:tplc="63504F8E">
      <w:start w:val="1"/>
      <w:numFmt w:val="bullet"/>
      <w:lvlText w:val=""/>
      <w:lvlJc w:val="left"/>
      <w:pPr>
        <w:tabs>
          <w:tab w:val="num" w:pos="840"/>
        </w:tabs>
        <w:ind w:left="840" w:hanging="420"/>
      </w:pPr>
      <w:rPr>
        <w:rFonts w:ascii="Wingdings" w:hAnsi="Wingdings"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5" w15:restartNumberingAfterBreak="0">
    <w:nsid w:val="4189603E"/>
    <w:multiLevelType w:val="multilevel"/>
    <w:tmpl w:val="85907AB4"/>
    <w:lvl w:ilvl="0">
      <w:start w:val="1"/>
      <w:numFmt w:val="upperRoman"/>
      <w:pStyle w:val="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16"/>
        <w:vertAlign w:val="superscrip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16cid:durableId="1158961848">
    <w:abstractNumId w:val="3"/>
  </w:num>
  <w:num w:numId="2" w16cid:durableId="1540044680">
    <w:abstractNumId w:val="7"/>
  </w:num>
  <w:num w:numId="3" w16cid:durableId="538470954">
    <w:abstractNumId w:val="1"/>
  </w:num>
  <w:num w:numId="4" w16cid:durableId="1526871739">
    <w:abstractNumId w:val="5"/>
  </w:num>
  <w:num w:numId="5" w16cid:durableId="1827892630">
    <w:abstractNumId w:val="5"/>
  </w:num>
  <w:num w:numId="6" w16cid:durableId="945650662">
    <w:abstractNumId w:val="5"/>
  </w:num>
  <w:num w:numId="7" w16cid:durableId="435439869">
    <w:abstractNumId w:val="5"/>
  </w:num>
  <w:num w:numId="8" w16cid:durableId="132333948">
    <w:abstractNumId w:val="6"/>
  </w:num>
  <w:num w:numId="9" w16cid:durableId="2132239720">
    <w:abstractNumId w:val="8"/>
  </w:num>
  <w:num w:numId="10" w16cid:durableId="1055856341">
    <w:abstractNumId w:val="4"/>
  </w:num>
  <w:num w:numId="11" w16cid:durableId="1692293082">
    <w:abstractNumId w:val="0"/>
  </w:num>
  <w:num w:numId="12" w16cid:durableId="603263996">
    <w:abstractNumId w:val="9"/>
  </w:num>
  <w:num w:numId="13" w16cid:durableId="876817016">
    <w:abstractNumId w:val="5"/>
  </w:num>
  <w:num w:numId="14" w16cid:durableId="607393724">
    <w:abstractNumId w:val="5"/>
  </w:num>
  <w:num w:numId="15" w16cid:durableId="217666097">
    <w:abstractNumId w:val="5"/>
  </w:num>
  <w:num w:numId="16" w16cid:durableId="2058699708">
    <w:abstractNumId w:val="2"/>
  </w:num>
  <w:num w:numId="17" w16cid:durableId="1054813185">
    <w:abstractNumId w:val="6"/>
  </w:num>
  <w:num w:numId="18" w16cid:durableId="729426370">
    <w:abstractNumId w:val="5"/>
  </w:num>
  <w:num w:numId="19" w16cid:durableId="914780458">
    <w:abstractNumId w:val="7"/>
  </w:num>
  <w:num w:numId="20" w16cid:durableId="1024556713">
    <w:abstractNumId w:val="5"/>
  </w:num>
  <w:num w:numId="21" w16cid:durableId="722217244">
    <w:abstractNumId w:val="5"/>
  </w:num>
  <w:num w:numId="22" w16cid:durableId="1637564709">
    <w:abstractNumId w:val="7"/>
  </w:num>
  <w:num w:numId="23" w16cid:durableId="466704711">
    <w:abstractNumId w:val="5"/>
  </w:num>
  <w:num w:numId="24" w16cid:durableId="944462035">
    <w:abstractNumId w:val="5"/>
  </w:num>
  <w:num w:numId="25" w16cid:durableId="1076822835">
    <w:abstractNumId w:val="5"/>
  </w:num>
  <w:num w:numId="26" w16cid:durableId="11349430">
    <w:abstractNumId w:val="5"/>
  </w:num>
  <w:num w:numId="27" w16cid:durableId="394936342">
    <w:abstractNumId w:val="7"/>
  </w:num>
  <w:num w:numId="28" w16cid:durableId="1215772238">
    <w:abstractNumId w:val="7"/>
  </w:num>
  <w:num w:numId="29" w16cid:durableId="2137409014">
    <w:abstractNumId w:val="5"/>
  </w:num>
  <w:num w:numId="30" w16cid:durableId="498888377">
    <w:abstractNumId w:val="7"/>
  </w:num>
  <w:num w:numId="31" w16cid:durableId="662928217">
    <w:abstractNumId w:val="7"/>
  </w:num>
  <w:num w:numId="32" w16cid:durableId="1236084310">
    <w:abstractNumId w:val="5"/>
  </w:num>
  <w:num w:numId="33" w16cid:durableId="397048300">
    <w:abstractNumId w:val="5"/>
  </w:num>
  <w:num w:numId="34" w16cid:durableId="609313719">
    <w:abstractNumId w:val="5"/>
  </w:num>
  <w:num w:numId="35" w16cid:durableId="1229999746">
    <w:abstractNumId w:val="5"/>
  </w:num>
  <w:num w:numId="36" w16cid:durableId="1205486711">
    <w:abstractNumId w:val="5"/>
  </w:num>
  <w:num w:numId="37" w16cid:durableId="768352593">
    <w:abstractNumId w:val="5"/>
  </w:num>
  <w:num w:numId="38" w16cid:durableId="48070030">
    <w:abstractNumId w:val="8"/>
  </w:num>
  <w:num w:numId="39" w16cid:durableId="195462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9A6"/>
    <w:rsid w:val="00002897"/>
    <w:rsid w:val="00003720"/>
    <w:rsid w:val="00005A6E"/>
    <w:rsid w:val="00010640"/>
    <w:rsid w:val="00015071"/>
    <w:rsid w:val="0002082C"/>
    <w:rsid w:val="0002689C"/>
    <w:rsid w:val="0004390D"/>
    <w:rsid w:val="000527F5"/>
    <w:rsid w:val="00054785"/>
    <w:rsid w:val="000631AB"/>
    <w:rsid w:val="00081E43"/>
    <w:rsid w:val="00084D5C"/>
    <w:rsid w:val="0009037B"/>
    <w:rsid w:val="000A1F8A"/>
    <w:rsid w:val="000A38BF"/>
    <w:rsid w:val="000B1409"/>
    <w:rsid w:val="000B4641"/>
    <w:rsid w:val="000C7022"/>
    <w:rsid w:val="000E18C9"/>
    <w:rsid w:val="000E7C4E"/>
    <w:rsid w:val="000F48B5"/>
    <w:rsid w:val="000F5429"/>
    <w:rsid w:val="00103DCF"/>
    <w:rsid w:val="00104E36"/>
    <w:rsid w:val="0010711E"/>
    <w:rsid w:val="0012022C"/>
    <w:rsid w:val="00120FF2"/>
    <w:rsid w:val="00127EDD"/>
    <w:rsid w:val="00132B96"/>
    <w:rsid w:val="001370B5"/>
    <w:rsid w:val="00141567"/>
    <w:rsid w:val="0016046E"/>
    <w:rsid w:val="00165E5D"/>
    <w:rsid w:val="001741D8"/>
    <w:rsid w:val="00197714"/>
    <w:rsid w:val="001A53B1"/>
    <w:rsid w:val="001C0D18"/>
    <w:rsid w:val="001E30CF"/>
    <w:rsid w:val="001E3879"/>
    <w:rsid w:val="001E5C55"/>
    <w:rsid w:val="001F6A19"/>
    <w:rsid w:val="00200627"/>
    <w:rsid w:val="002068DB"/>
    <w:rsid w:val="0021389A"/>
    <w:rsid w:val="00231D42"/>
    <w:rsid w:val="00232189"/>
    <w:rsid w:val="00257CE9"/>
    <w:rsid w:val="00262EB9"/>
    <w:rsid w:val="00275F3E"/>
    <w:rsid w:val="00276735"/>
    <w:rsid w:val="002864A3"/>
    <w:rsid w:val="00290B73"/>
    <w:rsid w:val="00294702"/>
    <w:rsid w:val="00294C90"/>
    <w:rsid w:val="002A15E6"/>
    <w:rsid w:val="002B3B81"/>
    <w:rsid w:val="002C0424"/>
    <w:rsid w:val="002C36F7"/>
    <w:rsid w:val="002D3653"/>
    <w:rsid w:val="002D6EBA"/>
    <w:rsid w:val="002F6B94"/>
    <w:rsid w:val="00305661"/>
    <w:rsid w:val="00306C88"/>
    <w:rsid w:val="00310391"/>
    <w:rsid w:val="00310761"/>
    <w:rsid w:val="00317865"/>
    <w:rsid w:val="00331B83"/>
    <w:rsid w:val="00343ED2"/>
    <w:rsid w:val="0036390B"/>
    <w:rsid w:val="00373D11"/>
    <w:rsid w:val="0038036E"/>
    <w:rsid w:val="00387560"/>
    <w:rsid w:val="003918F3"/>
    <w:rsid w:val="003A1BC0"/>
    <w:rsid w:val="003A47B5"/>
    <w:rsid w:val="003A59A6"/>
    <w:rsid w:val="003A7935"/>
    <w:rsid w:val="003A7C3A"/>
    <w:rsid w:val="003C62E6"/>
    <w:rsid w:val="003C7D5D"/>
    <w:rsid w:val="003D75CE"/>
    <w:rsid w:val="004059FE"/>
    <w:rsid w:val="004125ED"/>
    <w:rsid w:val="00413BCA"/>
    <w:rsid w:val="00415DE7"/>
    <w:rsid w:val="00422BD4"/>
    <w:rsid w:val="004254F2"/>
    <w:rsid w:val="00440F25"/>
    <w:rsid w:val="004445B3"/>
    <w:rsid w:val="004475BB"/>
    <w:rsid w:val="0045207A"/>
    <w:rsid w:val="00456ABE"/>
    <w:rsid w:val="00462EC3"/>
    <w:rsid w:val="00465A51"/>
    <w:rsid w:val="00482C0F"/>
    <w:rsid w:val="00486BFC"/>
    <w:rsid w:val="0049178B"/>
    <w:rsid w:val="0049344D"/>
    <w:rsid w:val="00496054"/>
    <w:rsid w:val="004C32D5"/>
    <w:rsid w:val="004D1ECF"/>
    <w:rsid w:val="004D4738"/>
    <w:rsid w:val="004E0039"/>
    <w:rsid w:val="004E2F82"/>
    <w:rsid w:val="004E56E3"/>
    <w:rsid w:val="004F2710"/>
    <w:rsid w:val="005004A0"/>
    <w:rsid w:val="0050139D"/>
    <w:rsid w:val="00506E77"/>
    <w:rsid w:val="0052402A"/>
    <w:rsid w:val="005243D0"/>
    <w:rsid w:val="005249E2"/>
    <w:rsid w:val="00542C63"/>
    <w:rsid w:val="00547396"/>
    <w:rsid w:val="005565BF"/>
    <w:rsid w:val="005569FB"/>
    <w:rsid w:val="00566F8C"/>
    <w:rsid w:val="0059546E"/>
    <w:rsid w:val="005A0697"/>
    <w:rsid w:val="005A5493"/>
    <w:rsid w:val="005A6904"/>
    <w:rsid w:val="005A6EDB"/>
    <w:rsid w:val="005A70BD"/>
    <w:rsid w:val="005B3B44"/>
    <w:rsid w:val="005B520E"/>
    <w:rsid w:val="005B535B"/>
    <w:rsid w:val="005B5C87"/>
    <w:rsid w:val="005C2B0B"/>
    <w:rsid w:val="005C3099"/>
    <w:rsid w:val="005C70D9"/>
    <w:rsid w:val="005D6AFE"/>
    <w:rsid w:val="005D7A02"/>
    <w:rsid w:val="005E51BD"/>
    <w:rsid w:val="005E5C17"/>
    <w:rsid w:val="00600DC3"/>
    <w:rsid w:val="00606073"/>
    <w:rsid w:val="006108A4"/>
    <w:rsid w:val="006131E5"/>
    <w:rsid w:val="006135C6"/>
    <w:rsid w:val="0061391A"/>
    <w:rsid w:val="006207E3"/>
    <w:rsid w:val="00620EDE"/>
    <w:rsid w:val="006259D7"/>
    <w:rsid w:val="00640626"/>
    <w:rsid w:val="00672354"/>
    <w:rsid w:val="00672D26"/>
    <w:rsid w:val="00675049"/>
    <w:rsid w:val="00676EA8"/>
    <w:rsid w:val="00685C75"/>
    <w:rsid w:val="006A3717"/>
    <w:rsid w:val="006A617A"/>
    <w:rsid w:val="006B0404"/>
    <w:rsid w:val="006B3E8D"/>
    <w:rsid w:val="006C017A"/>
    <w:rsid w:val="006C4648"/>
    <w:rsid w:val="006C4668"/>
    <w:rsid w:val="006C74D7"/>
    <w:rsid w:val="006E6E98"/>
    <w:rsid w:val="006F1740"/>
    <w:rsid w:val="00706F21"/>
    <w:rsid w:val="007106E0"/>
    <w:rsid w:val="0072064C"/>
    <w:rsid w:val="007211F7"/>
    <w:rsid w:val="007442B3"/>
    <w:rsid w:val="00753F7B"/>
    <w:rsid w:val="007600E1"/>
    <w:rsid w:val="00773AC0"/>
    <w:rsid w:val="00774EF4"/>
    <w:rsid w:val="00787C5A"/>
    <w:rsid w:val="007919DE"/>
    <w:rsid w:val="007B261B"/>
    <w:rsid w:val="007B5AAD"/>
    <w:rsid w:val="007C0308"/>
    <w:rsid w:val="007C627C"/>
    <w:rsid w:val="008014D2"/>
    <w:rsid w:val="008054BC"/>
    <w:rsid w:val="00806AE0"/>
    <w:rsid w:val="00821A14"/>
    <w:rsid w:val="008272BC"/>
    <w:rsid w:val="00837DA0"/>
    <w:rsid w:val="00860B99"/>
    <w:rsid w:val="00863022"/>
    <w:rsid w:val="0087172F"/>
    <w:rsid w:val="00871990"/>
    <w:rsid w:val="00875F8D"/>
    <w:rsid w:val="008A55B5"/>
    <w:rsid w:val="008A75C8"/>
    <w:rsid w:val="008B0518"/>
    <w:rsid w:val="008B23F6"/>
    <w:rsid w:val="008B72AF"/>
    <w:rsid w:val="008C3698"/>
    <w:rsid w:val="008D3F3E"/>
    <w:rsid w:val="008F0A10"/>
    <w:rsid w:val="008F2E37"/>
    <w:rsid w:val="008F430C"/>
    <w:rsid w:val="0090713D"/>
    <w:rsid w:val="0091055E"/>
    <w:rsid w:val="00913ADD"/>
    <w:rsid w:val="009210FD"/>
    <w:rsid w:val="009236C0"/>
    <w:rsid w:val="00933769"/>
    <w:rsid w:val="00961D90"/>
    <w:rsid w:val="00965584"/>
    <w:rsid w:val="0097508D"/>
    <w:rsid w:val="00980804"/>
    <w:rsid w:val="00981714"/>
    <w:rsid w:val="00981763"/>
    <w:rsid w:val="00983316"/>
    <w:rsid w:val="00991159"/>
    <w:rsid w:val="009A4734"/>
    <w:rsid w:val="009B6956"/>
    <w:rsid w:val="009D2BDF"/>
    <w:rsid w:val="009E2AF3"/>
    <w:rsid w:val="00A14BFA"/>
    <w:rsid w:val="00A176A9"/>
    <w:rsid w:val="00A316CD"/>
    <w:rsid w:val="00A37AA1"/>
    <w:rsid w:val="00A45F29"/>
    <w:rsid w:val="00A50050"/>
    <w:rsid w:val="00A510F7"/>
    <w:rsid w:val="00A512FE"/>
    <w:rsid w:val="00A63230"/>
    <w:rsid w:val="00A72B4C"/>
    <w:rsid w:val="00A8182C"/>
    <w:rsid w:val="00A81FBD"/>
    <w:rsid w:val="00A93E8F"/>
    <w:rsid w:val="00A93ECA"/>
    <w:rsid w:val="00AA101C"/>
    <w:rsid w:val="00AA58F1"/>
    <w:rsid w:val="00AB155F"/>
    <w:rsid w:val="00AC6519"/>
    <w:rsid w:val="00AD21DE"/>
    <w:rsid w:val="00AD67FC"/>
    <w:rsid w:val="00AD74B9"/>
    <w:rsid w:val="00AD78AF"/>
    <w:rsid w:val="00B00A7E"/>
    <w:rsid w:val="00B065A8"/>
    <w:rsid w:val="00B14360"/>
    <w:rsid w:val="00B14BD8"/>
    <w:rsid w:val="00B35151"/>
    <w:rsid w:val="00B6555D"/>
    <w:rsid w:val="00B72203"/>
    <w:rsid w:val="00B76081"/>
    <w:rsid w:val="00B81AAE"/>
    <w:rsid w:val="00B81D3C"/>
    <w:rsid w:val="00BA1DBC"/>
    <w:rsid w:val="00BA7FDA"/>
    <w:rsid w:val="00BB0E7B"/>
    <w:rsid w:val="00BB1DCE"/>
    <w:rsid w:val="00BB50B1"/>
    <w:rsid w:val="00BC57B4"/>
    <w:rsid w:val="00BD565D"/>
    <w:rsid w:val="00BE4B53"/>
    <w:rsid w:val="00BE69D5"/>
    <w:rsid w:val="00BF1900"/>
    <w:rsid w:val="00C1321F"/>
    <w:rsid w:val="00C156DB"/>
    <w:rsid w:val="00C17089"/>
    <w:rsid w:val="00C235F7"/>
    <w:rsid w:val="00C31EAA"/>
    <w:rsid w:val="00C33BF5"/>
    <w:rsid w:val="00C41F26"/>
    <w:rsid w:val="00C4789B"/>
    <w:rsid w:val="00C533FB"/>
    <w:rsid w:val="00C5440F"/>
    <w:rsid w:val="00C90305"/>
    <w:rsid w:val="00C95622"/>
    <w:rsid w:val="00C96C01"/>
    <w:rsid w:val="00CB66E6"/>
    <w:rsid w:val="00CC0C56"/>
    <w:rsid w:val="00CC2DF6"/>
    <w:rsid w:val="00CC5597"/>
    <w:rsid w:val="00CD295F"/>
    <w:rsid w:val="00CD5530"/>
    <w:rsid w:val="00CD77F2"/>
    <w:rsid w:val="00CE3D0A"/>
    <w:rsid w:val="00CE4B93"/>
    <w:rsid w:val="00CF0E38"/>
    <w:rsid w:val="00CF3897"/>
    <w:rsid w:val="00D024A1"/>
    <w:rsid w:val="00D1009A"/>
    <w:rsid w:val="00D142CD"/>
    <w:rsid w:val="00D3480E"/>
    <w:rsid w:val="00D532E0"/>
    <w:rsid w:val="00D5414A"/>
    <w:rsid w:val="00D80114"/>
    <w:rsid w:val="00D80E5C"/>
    <w:rsid w:val="00D84351"/>
    <w:rsid w:val="00D9156D"/>
    <w:rsid w:val="00DB01C1"/>
    <w:rsid w:val="00DB36F3"/>
    <w:rsid w:val="00DB7FFB"/>
    <w:rsid w:val="00DD739F"/>
    <w:rsid w:val="00DE0B4A"/>
    <w:rsid w:val="00DE1DD3"/>
    <w:rsid w:val="00DE658A"/>
    <w:rsid w:val="00DF02A1"/>
    <w:rsid w:val="00DF0B7F"/>
    <w:rsid w:val="00DF3F21"/>
    <w:rsid w:val="00E135F6"/>
    <w:rsid w:val="00E2400E"/>
    <w:rsid w:val="00E248A7"/>
    <w:rsid w:val="00E32A38"/>
    <w:rsid w:val="00E33F5D"/>
    <w:rsid w:val="00E35A8C"/>
    <w:rsid w:val="00E43A6C"/>
    <w:rsid w:val="00E512C0"/>
    <w:rsid w:val="00E8433E"/>
    <w:rsid w:val="00E87724"/>
    <w:rsid w:val="00E903C8"/>
    <w:rsid w:val="00E91219"/>
    <w:rsid w:val="00E95DDE"/>
    <w:rsid w:val="00EA506F"/>
    <w:rsid w:val="00EC0FE6"/>
    <w:rsid w:val="00ED677A"/>
    <w:rsid w:val="00EE10B8"/>
    <w:rsid w:val="00EE314E"/>
    <w:rsid w:val="00EE4362"/>
    <w:rsid w:val="00EE5087"/>
    <w:rsid w:val="00EF18D7"/>
    <w:rsid w:val="00EF1E8A"/>
    <w:rsid w:val="00EF3A1A"/>
    <w:rsid w:val="00F079E5"/>
    <w:rsid w:val="00F10506"/>
    <w:rsid w:val="00F17AC1"/>
    <w:rsid w:val="00F21EFC"/>
    <w:rsid w:val="00F27CB0"/>
    <w:rsid w:val="00F33060"/>
    <w:rsid w:val="00F52738"/>
    <w:rsid w:val="00F5549D"/>
    <w:rsid w:val="00F55664"/>
    <w:rsid w:val="00F651F5"/>
    <w:rsid w:val="00F76DC9"/>
    <w:rsid w:val="00F87EC0"/>
    <w:rsid w:val="00F9529F"/>
    <w:rsid w:val="00FA36BC"/>
    <w:rsid w:val="00FC5866"/>
    <w:rsid w:val="00FC5E34"/>
    <w:rsid w:val="00FE497C"/>
    <w:rsid w:val="00FE7E9A"/>
    <w:rsid w:val="00FF0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87D9C7"/>
  <w15:docId w15:val="{992EE2BA-056C-4B16-88EE-6A3A53BB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35B"/>
    <w:pPr>
      <w:jc w:val="center"/>
    </w:pPr>
    <w:rPr>
      <w:rFonts w:ascii="Times New Roman" w:hAnsi="Times New Roman"/>
      <w:lang w:eastAsia="en-US"/>
    </w:rPr>
  </w:style>
  <w:style w:type="paragraph" w:styleId="1">
    <w:name w:val="heading 1"/>
    <w:basedOn w:val="a"/>
    <w:next w:val="a"/>
    <w:link w:val="10"/>
    <w:uiPriority w:val="99"/>
    <w:qFormat/>
    <w:pPr>
      <w:keepNext/>
      <w:keepLines/>
      <w:numPr>
        <w:numId w:val="4"/>
      </w:numPr>
      <w:tabs>
        <w:tab w:val="left" w:pos="216"/>
      </w:tabs>
      <w:spacing w:before="160" w:after="80"/>
      <w:outlineLvl w:val="0"/>
    </w:pPr>
    <w:rPr>
      <w:smallCaps/>
      <w:noProof/>
    </w:rPr>
  </w:style>
  <w:style w:type="paragraph" w:styleId="2">
    <w:name w:val="heading 2"/>
    <w:basedOn w:val="a"/>
    <w:next w:val="a"/>
    <w:link w:val="20"/>
    <w:uiPriority w:val="99"/>
    <w:qFormat/>
    <w:rsid w:val="00EF3A1A"/>
    <w:pPr>
      <w:keepNext/>
      <w:keepLines/>
      <w:numPr>
        <w:ilvl w:val="1"/>
        <w:numId w:val="5"/>
      </w:numPr>
      <w:spacing w:before="120" w:after="60"/>
      <w:jc w:val="left"/>
      <w:outlineLvl w:val="1"/>
    </w:pPr>
    <w:rPr>
      <w:rFonts w:eastAsia="MS Mincho"/>
      <w:i/>
      <w:iCs/>
      <w:noProof/>
    </w:rPr>
  </w:style>
  <w:style w:type="paragraph" w:styleId="3">
    <w:name w:val="heading 3"/>
    <w:basedOn w:val="a"/>
    <w:next w:val="a"/>
    <w:link w:val="30"/>
    <w:uiPriority w:val="99"/>
    <w:qFormat/>
    <w:rsid w:val="004059FE"/>
    <w:pPr>
      <w:numPr>
        <w:ilvl w:val="2"/>
        <w:numId w:val="6"/>
      </w:numPr>
      <w:spacing w:line="240" w:lineRule="exact"/>
      <w:ind w:firstLine="288"/>
      <w:jc w:val="both"/>
      <w:outlineLvl w:val="2"/>
    </w:pPr>
    <w:rPr>
      <w:rFonts w:eastAsia="MS Mincho"/>
      <w:i/>
      <w:iCs/>
      <w:noProof/>
    </w:rPr>
  </w:style>
  <w:style w:type="paragraph" w:styleId="4">
    <w:name w:val="heading 4"/>
    <w:basedOn w:val="a"/>
    <w:next w:val="a"/>
    <w:link w:val="40"/>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5">
    <w:name w:val="heading 5"/>
    <w:basedOn w:val="a"/>
    <w:next w:val="a"/>
    <w:link w:val="50"/>
    <w:uiPriority w:val="99"/>
    <w:qFormat/>
    <w:pPr>
      <w:tabs>
        <w:tab w:val="left" w:pos="360"/>
      </w:tabs>
      <w:spacing w:before="160" w:after="80"/>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locked/>
    <w:rPr>
      <w:rFonts w:ascii="Cambria" w:eastAsia="Times New Roman" w:hAnsi="Cambria" w:cs="Times New Roman"/>
      <w:b/>
      <w:bCs/>
      <w:kern w:val="32"/>
      <w:sz w:val="32"/>
      <w:szCs w:val="32"/>
    </w:rPr>
  </w:style>
  <w:style w:type="character" w:customStyle="1" w:styleId="20">
    <w:name w:val="标题 2 字符"/>
    <w:link w:val="2"/>
    <w:uiPriority w:val="99"/>
    <w:locked/>
    <w:rsid w:val="00EF3A1A"/>
    <w:rPr>
      <w:rFonts w:ascii="Times New Roman" w:eastAsia="MS Mincho" w:hAnsi="Times New Roman" w:cs="Times New Roman"/>
      <w:i/>
      <w:iCs/>
      <w:noProof/>
      <w:sz w:val="20"/>
      <w:szCs w:val="20"/>
    </w:rPr>
  </w:style>
  <w:style w:type="character" w:customStyle="1" w:styleId="30">
    <w:name w:val="标题 3 字符"/>
    <w:link w:val="3"/>
    <w:uiPriority w:val="99"/>
    <w:locked/>
    <w:rsid w:val="004059FE"/>
    <w:rPr>
      <w:rFonts w:ascii="Times New Roman" w:eastAsia="MS Mincho" w:hAnsi="Times New Roman" w:cs="Times New Roman"/>
      <w:i/>
      <w:iCs/>
      <w:noProof/>
      <w:sz w:val="20"/>
      <w:szCs w:val="20"/>
    </w:rPr>
  </w:style>
  <w:style w:type="character" w:customStyle="1" w:styleId="40">
    <w:name w:val="标题 4 字符"/>
    <w:link w:val="4"/>
    <w:uiPriority w:val="99"/>
    <w:locked/>
    <w:rsid w:val="004059FE"/>
    <w:rPr>
      <w:rFonts w:ascii="Times New Roman" w:eastAsia="MS Mincho" w:hAnsi="Times New Roman" w:cs="Times New Roman"/>
      <w:i/>
      <w:iCs/>
      <w:noProof/>
      <w:sz w:val="20"/>
      <w:szCs w:val="20"/>
    </w:rPr>
  </w:style>
  <w:style w:type="character" w:customStyle="1" w:styleId="50">
    <w:name w:val="标题 5 字符"/>
    <w:link w:val="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lang w:eastAsia="en-US"/>
    </w:rPr>
  </w:style>
  <w:style w:type="paragraph" w:customStyle="1" w:styleId="Affiliation">
    <w:name w:val="Affiliation"/>
    <w:pPr>
      <w:jc w:val="center"/>
    </w:pPr>
    <w:rPr>
      <w:rFonts w:ascii="Times New Roman" w:hAnsi="Times New Roman"/>
      <w:lang w:eastAsia="en-US"/>
    </w:rPr>
  </w:style>
  <w:style w:type="paragraph" w:customStyle="1" w:styleId="Author">
    <w:name w:val="Author"/>
    <w:uiPriority w:val="99"/>
    <w:pPr>
      <w:spacing w:before="360" w:after="40"/>
      <w:jc w:val="center"/>
    </w:pPr>
    <w:rPr>
      <w:rFonts w:ascii="Times New Roman" w:hAnsi="Times New Roman"/>
      <w:noProof/>
      <w:sz w:val="22"/>
      <w:szCs w:val="22"/>
      <w:lang w:eastAsia="en-US"/>
    </w:rPr>
  </w:style>
  <w:style w:type="paragraph" w:styleId="a3">
    <w:name w:val="Body Text"/>
    <w:basedOn w:val="a"/>
    <w:link w:val="a4"/>
    <w:uiPriority w:val="99"/>
    <w:rsid w:val="00753F7B"/>
    <w:pPr>
      <w:tabs>
        <w:tab w:val="left" w:pos="288"/>
      </w:tabs>
      <w:spacing w:after="120" w:line="228" w:lineRule="auto"/>
      <w:ind w:firstLine="288"/>
      <w:jc w:val="both"/>
    </w:pPr>
    <w:rPr>
      <w:rFonts w:eastAsia="MS Mincho"/>
      <w:spacing w:val="-1"/>
    </w:rPr>
  </w:style>
  <w:style w:type="character" w:customStyle="1" w:styleId="a4">
    <w:name w:val="正文文本 字符"/>
    <w:link w:val="a3"/>
    <w:uiPriority w:val="99"/>
    <w:locked/>
    <w:rsid w:val="00753F7B"/>
    <w:rPr>
      <w:rFonts w:ascii="Times New Roman" w:eastAsia="MS Mincho" w:hAnsi="Times New Roman" w:cs="Times New Roman"/>
      <w:sz w:val="20"/>
      <w:szCs w:val="20"/>
    </w:rPr>
  </w:style>
  <w:style w:type="paragraph" w:customStyle="1" w:styleId="bulletlist">
    <w:name w:val="bullet list"/>
    <w:basedOn w:val="a3"/>
    <w:rsid w:val="008054BC"/>
    <w:pPr>
      <w:numPr>
        <w:numId w:val="1"/>
      </w:numPr>
      <w:tabs>
        <w:tab w:val="clear" w:pos="648"/>
      </w:tabs>
      <w:ind w:left="576" w:hanging="288"/>
    </w:pPr>
  </w:style>
  <w:style w:type="paragraph" w:customStyle="1" w:styleId="equation">
    <w:name w:val="equation"/>
    <w:basedOn w:val="a"/>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jc w:val="both"/>
    </w:pPr>
    <w:rPr>
      <w:rFonts w:ascii="Times New Roman" w:hAnsi="Times New Roman"/>
      <w:noProof/>
      <w:sz w:val="16"/>
      <w:szCs w:val="16"/>
      <w:lang w:eastAsia="en-US"/>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lang w:eastAsia="en-US"/>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lang w:eastAsia="en-US"/>
    </w:rPr>
  </w:style>
  <w:style w:type="paragraph" w:customStyle="1" w:styleId="papersubtitle">
    <w:name w:val="paper subtitle"/>
    <w:uiPriority w:val="99"/>
    <w:rsid w:val="0097508D"/>
    <w:pPr>
      <w:spacing w:after="120"/>
      <w:jc w:val="center"/>
    </w:pPr>
    <w:rPr>
      <w:rFonts w:ascii="Times New Roman" w:hAnsi="Times New Roman"/>
      <w:bCs/>
      <w:noProof/>
      <w:sz w:val="28"/>
      <w:szCs w:val="28"/>
      <w:lang w:eastAsia="en-US"/>
    </w:rPr>
  </w:style>
  <w:style w:type="paragraph" w:customStyle="1" w:styleId="papertitle">
    <w:name w:val="paper title"/>
    <w:uiPriority w:val="99"/>
    <w:rsid w:val="0097508D"/>
    <w:pPr>
      <w:spacing w:after="120"/>
      <w:jc w:val="center"/>
    </w:pPr>
    <w:rPr>
      <w:rFonts w:ascii="Times New Roman" w:hAnsi="Times New Roman"/>
      <w:bCs/>
      <w:noProof/>
      <w:sz w:val="48"/>
      <w:szCs w:val="48"/>
      <w:lang w:eastAsia="en-US"/>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lang w:eastAsia="en-US"/>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lang w:eastAsia="en-US"/>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lang w:eastAsia="en-US"/>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lang w:eastAsia="en-US"/>
    </w:rPr>
  </w:style>
  <w:style w:type="paragraph" w:customStyle="1" w:styleId="a5">
    <w:name w:val="图题"/>
    <w:basedOn w:val="a"/>
    <w:rsid w:val="00165E5D"/>
    <w:pPr>
      <w:widowControl w:val="0"/>
      <w:adjustRightInd w:val="0"/>
      <w:spacing w:before="120" w:after="240"/>
      <w:textAlignment w:val="baseline"/>
    </w:pPr>
    <w:rPr>
      <w:sz w:val="22"/>
      <w:szCs w:val="22"/>
      <w:lang w:eastAsia="zh-CN"/>
    </w:rPr>
  </w:style>
  <w:style w:type="paragraph" w:customStyle="1" w:styleId="MTDisplayEquation">
    <w:name w:val="MTDisplayEquation"/>
    <w:basedOn w:val="a"/>
    <w:next w:val="a"/>
    <w:link w:val="MTDisplayEquationChar"/>
    <w:rsid w:val="00165E5D"/>
    <w:pPr>
      <w:widowControl w:val="0"/>
      <w:tabs>
        <w:tab w:val="center" w:pos="4140"/>
        <w:tab w:val="right" w:pos="8280"/>
      </w:tabs>
      <w:adjustRightInd w:val="0"/>
      <w:spacing w:line="400" w:lineRule="atLeast"/>
      <w:ind w:firstLineChars="170" w:firstLine="408"/>
      <w:jc w:val="both"/>
      <w:textAlignment w:val="baseline"/>
    </w:pPr>
    <w:rPr>
      <w:color w:val="000000"/>
      <w:sz w:val="24"/>
      <w:lang w:eastAsia="zh-CN"/>
    </w:rPr>
  </w:style>
  <w:style w:type="character" w:customStyle="1" w:styleId="MTDisplayEquationChar">
    <w:name w:val="MTDisplayEquation Char"/>
    <w:link w:val="MTDisplayEquation"/>
    <w:rsid w:val="00165E5D"/>
    <w:rPr>
      <w:rFonts w:ascii="Times New Roman" w:eastAsia="宋体" w:hAnsi="Times New Roman"/>
      <w:color w:val="000000"/>
      <w:sz w:val="24"/>
    </w:rPr>
  </w:style>
  <w:style w:type="paragraph" w:customStyle="1" w:styleId="a6">
    <w:name w:val="中文表题"/>
    <w:basedOn w:val="a"/>
    <w:rsid w:val="00D80114"/>
    <w:pPr>
      <w:overflowPunct w:val="0"/>
      <w:autoSpaceDE w:val="0"/>
      <w:autoSpaceDN w:val="0"/>
      <w:adjustRightInd w:val="0"/>
      <w:spacing w:before="120" w:line="380" w:lineRule="exact"/>
      <w:ind w:left="227" w:right="227"/>
      <w:jc w:val="both"/>
      <w:textAlignment w:val="baseline"/>
    </w:pPr>
    <w:rPr>
      <w:color w:val="000000"/>
      <w:spacing w:val="6"/>
      <w:sz w:val="22"/>
      <w:lang w:eastAsia="zh-CN"/>
    </w:rPr>
  </w:style>
  <w:style w:type="paragraph" w:styleId="21">
    <w:name w:val="List 2"/>
    <w:basedOn w:val="a"/>
    <w:uiPriority w:val="99"/>
    <w:unhideWhenUsed/>
    <w:rsid w:val="006135C6"/>
    <w:pPr>
      <w:ind w:leftChars="200" w:left="100" w:hangingChars="200" w:hanging="200"/>
      <w:contextualSpacing/>
    </w:pPr>
  </w:style>
  <w:style w:type="paragraph" w:styleId="31">
    <w:name w:val="List 3"/>
    <w:basedOn w:val="a"/>
    <w:uiPriority w:val="99"/>
    <w:unhideWhenUsed/>
    <w:rsid w:val="006135C6"/>
    <w:pPr>
      <w:ind w:leftChars="400" w:left="100" w:hangingChars="200" w:hanging="200"/>
      <w:contextualSpacing/>
    </w:pPr>
  </w:style>
  <w:style w:type="paragraph" w:styleId="a7">
    <w:name w:val="List Continue"/>
    <w:basedOn w:val="a"/>
    <w:uiPriority w:val="99"/>
    <w:unhideWhenUsed/>
    <w:rsid w:val="006135C6"/>
    <w:pPr>
      <w:spacing w:after="120"/>
      <w:ind w:leftChars="200" w:left="420"/>
      <w:contextualSpacing/>
    </w:pPr>
  </w:style>
  <w:style w:type="paragraph" w:styleId="a8">
    <w:name w:val="Body Text Indent"/>
    <w:basedOn w:val="a"/>
    <w:link w:val="a9"/>
    <w:uiPriority w:val="99"/>
    <w:unhideWhenUsed/>
    <w:rsid w:val="006135C6"/>
    <w:pPr>
      <w:spacing w:after="120"/>
      <w:ind w:leftChars="200" w:left="420"/>
    </w:pPr>
  </w:style>
  <w:style w:type="character" w:customStyle="1" w:styleId="a9">
    <w:name w:val="正文文本缩进 字符"/>
    <w:link w:val="a8"/>
    <w:uiPriority w:val="99"/>
    <w:rsid w:val="006135C6"/>
    <w:rPr>
      <w:rFonts w:ascii="Times New Roman" w:hAnsi="Times New Roman"/>
      <w:lang w:eastAsia="en-US"/>
    </w:rPr>
  </w:style>
  <w:style w:type="paragraph" w:styleId="aa">
    <w:name w:val="Body Text First Indent"/>
    <w:basedOn w:val="a3"/>
    <w:link w:val="ab"/>
    <w:uiPriority w:val="99"/>
    <w:unhideWhenUsed/>
    <w:rsid w:val="006135C6"/>
    <w:pPr>
      <w:tabs>
        <w:tab w:val="clear" w:pos="288"/>
      </w:tabs>
      <w:spacing w:line="240" w:lineRule="auto"/>
      <w:ind w:firstLineChars="100" w:firstLine="420"/>
      <w:jc w:val="center"/>
    </w:pPr>
    <w:rPr>
      <w:rFonts w:eastAsia="宋体"/>
      <w:spacing w:val="0"/>
    </w:rPr>
  </w:style>
  <w:style w:type="character" w:customStyle="1" w:styleId="ab">
    <w:name w:val="正文文本首行缩进 字符"/>
    <w:link w:val="aa"/>
    <w:uiPriority w:val="99"/>
    <w:rsid w:val="006135C6"/>
    <w:rPr>
      <w:rFonts w:ascii="Times New Roman" w:eastAsia="MS Mincho" w:hAnsi="Times New Roman" w:cs="Times New Roman"/>
      <w:sz w:val="20"/>
      <w:szCs w:val="20"/>
      <w:lang w:eastAsia="en-US"/>
    </w:rPr>
  </w:style>
  <w:style w:type="paragraph" w:styleId="22">
    <w:name w:val="Body Text First Indent 2"/>
    <w:basedOn w:val="a8"/>
    <w:link w:val="23"/>
    <w:uiPriority w:val="99"/>
    <w:unhideWhenUsed/>
    <w:rsid w:val="006135C6"/>
    <w:pPr>
      <w:ind w:firstLineChars="200" w:firstLine="420"/>
    </w:pPr>
  </w:style>
  <w:style w:type="character" w:customStyle="1" w:styleId="23">
    <w:name w:val="正文文本首行缩进 2 字符"/>
    <w:link w:val="22"/>
    <w:uiPriority w:val="99"/>
    <w:rsid w:val="006135C6"/>
    <w:rPr>
      <w:rFonts w:ascii="Times New Roman" w:hAnsi="Times New Roman"/>
      <w:lang w:eastAsia="en-US"/>
    </w:rPr>
  </w:style>
  <w:style w:type="character" w:styleId="ac">
    <w:name w:val="Hyperlink"/>
    <w:uiPriority w:val="99"/>
    <w:unhideWhenUsed/>
    <w:rsid w:val="006135C6"/>
    <w:rPr>
      <w:color w:val="0563C1"/>
      <w:u w:val="single"/>
    </w:rPr>
  </w:style>
  <w:style w:type="paragraph" w:styleId="ad">
    <w:name w:val="header"/>
    <w:basedOn w:val="a"/>
    <w:link w:val="ae"/>
    <w:uiPriority w:val="99"/>
    <w:unhideWhenUsed/>
    <w:rsid w:val="0016046E"/>
    <w:pPr>
      <w:pBdr>
        <w:bottom w:val="single" w:sz="6" w:space="1" w:color="auto"/>
      </w:pBdr>
      <w:tabs>
        <w:tab w:val="center" w:pos="4153"/>
        <w:tab w:val="right" w:pos="8306"/>
      </w:tabs>
      <w:snapToGrid w:val="0"/>
    </w:pPr>
    <w:rPr>
      <w:sz w:val="18"/>
      <w:szCs w:val="18"/>
    </w:rPr>
  </w:style>
  <w:style w:type="character" w:customStyle="1" w:styleId="ae">
    <w:name w:val="页眉 字符"/>
    <w:link w:val="ad"/>
    <w:uiPriority w:val="99"/>
    <w:rsid w:val="0016046E"/>
    <w:rPr>
      <w:rFonts w:ascii="Times New Roman" w:hAnsi="Times New Roman"/>
      <w:sz w:val="18"/>
      <w:szCs w:val="18"/>
      <w:lang w:eastAsia="en-US"/>
    </w:rPr>
  </w:style>
  <w:style w:type="paragraph" w:styleId="af">
    <w:name w:val="footer"/>
    <w:basedOn w:val="a"/>
    <w:link w:val="af0"/>
    <w:uiPriority w:val="99"/>
    <w:unhideWhenUsed/>
    <w:rsid w:val="0016046E"/>
    <w:pPr>
      <w:tabs>
        <w:tab w:val="center" w:pos="4153"/>
        <w:tab w:val="right" w:pos="8306"/>
      </w:tabs>
      <w:snapToGrid w:val="0"/>
      <w:jc w:val="left"/>
    </w:pPr>
    <w:rPr>
      <w:sz w:val="18"/>
      <w:szCs w:val="18"/>
    </w:rPr>
  </w:style>
  <w:style w:type="character" w:customStyle="1" w:styleId="af0">
    <w:name w:val="页脚 字符"/>
    <w:link w:val="af"/>
    <w:uiPriority w:val="99"/>
    <w:rsid w:val="0016046E"/>
    <w:rPr>
      <w:rFonts w:ascii="Times New Roman" w:hAnsi="Times New Roman"/>
      <w:sz w:val="18"/>
      <w:szCs w:val="18"/>
      <w:lang w:eastAsia="en-US"/>
    </w:rPr>
  </w:style>
  <w:style w:type="paragraph" w:customStyle="1" w:styleId="af1">
    <w:name w:val="表内文"/>
    <w:basedOn w:val="a"/>
    <w:uiPriority w:val="99"/>
    <w:rsid w:val="006B3E8D"/>
    <w:pPr>
      <w:widowControl w:val="0"/>
      <w:autoSpaceDE w:val="0"/>
      <w:autoSpaceDN w:val="0"/>
      <w:adjustRightInd w:val="0"/>
      <w:spacing w:line="240" w:lineRule="atLeast"/>
      <w:textAlignment w:val="center"/>
    </w:pPr>
    <w:rPr>
      <w:rFonts w:ascii="ATC-65b96b634e665b8b*+times" w:eastAsia="ATC-65b96b634e665b8b*+times" w:cs="ATC-65b96b634e665b8b*+times"/>
      <w:color w:val="000000"/>
      <w:sz w:val="15"/>
      <w:szCs w:val="15"/>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29749">
      <w:bodyDiv w:val="1"/>
      <w:marLeft w:val="0"/>
      <w:marRight w:val="0"/>
      <w:marTop w:val="0"/>
      <w:marBottom w:val="0"/>
      <w:divBdr>
        <w:top w:val="none" w:sz="0" w:space="0" w:color="auto"/>
        <w:left w:val="none" w:sz="0" w:space="0" w:color="auto"/>
        <w:bottom w:val="none" w:sz="0" w:space="0" w:color="auto"/>
        <w:right w:val="none" w:sz="0" w:space="0" w:color="auto"/>
      </w:divBdr>
    </w:div>
    <w:div w:id="1171215586">
      <w:bodyDiv w:val="1"/>
      <w:marLeft w:val="0"/>
      <w:marRight w:val="0"/>
      <w:marTop w:val="0"/>
      <w:marBottom w:val="0"/>
      <w:divBdr>
        <w:top w:val="none" w:sz="0" w:space="0" w:color="auto"/>
        <w:left w:val="none" w:sz="0" w:space="0" w:color="auto"/>
        <w:bottom w:val="none" w:sz="0" w:space="0" w:color="auto"/>
        <w:right w:val="none" w:sz="0" w:space="0" w:color="auto"/>
      </w:divBdr>
      <w:divsChild>
        <w:div w:id="581766314">
          <w:marLeft w:val="60"/>
          <w:marRight w:val="0"/>
          <w:marTop w:val="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EED4C-604F-4A64-BD0F-F9BC055B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3829</Words>
  <Characters>21829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dc:description/>
  <cp:lastModifiedBy>ZUO LIN</cp:lastModifiedBy>
  <cp:revision>83</cp:revision>
  <cp:lastPrinted>2020-04-08T14:12:00Z</cp:lastPrinted>
  <dcterms:created xsi:type="dcterms:W3CDTF">2020-04-08T14:13:00Z</dcterms:created>
  <dcterms:modified xsi:type="dcterms:W3CDTF">2023-07-29T04:16:00Z</dcterms:modified>
</cp:coreProperties>
</file>